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65F4" w14:textId="77777777" w:rsidR="004D33AE" w:rsidRDefault="004D33AE" w:rsidP="0060581A">
      <w:pPr>
        <w:keepNext/>
        <w:keepLines/>
        <w:suppressLineNumbers/>
        <w:autoSpaceDE/>
        <w:autoSpaceDN/>
        <w:jc w:val="right"/>
        <w:rPr>
          <w:rFonts w:eastAsia="SimSun"/>
          <w:b/>
          <w:bCs/>
          <w:kern w:val="1"/>
          <w:sz w:val="20"/>
          <w:szCs w:val="20"/>
          <w:lang w:eastAsia="zh-CN" w:bidi="hi-IN"/>
        </w:rPr>
      </w:pPr>
    </w:p>
    <w:p w14:paraId="6E9B0F5A" w14:textId="77777777" w:rsidR="0060581A" w:rsidRDefault="0060581A" w:rsidP="0060581A">
      <w:pPr>
        <w:rPr>
          <w:b/>
          <w:bCs/>
        </w:rPr>
      </w:pPr>
      <w:bookmarkStart w:id="0" w:name="_GoBack"/>
      <w:bookmarkEnd w:id="0"/>
    </w:p>
    <w:p w14:paraId="4DA8EF73" w14:textId="77777777" w:rsidR="005560E8" w:rsidRDefault="005560E8" w:rsidP="0060581A">
      <w:pPr>
        <w:rPr>
          <w:b/>
          <w:bCs/>
        </w:rPr>
      </w:pPr>
    </w:p>
    <w:p w14:paraId="64F6DD13" w14:textId="77777777" w:rsidR="00653F95" w:rsidRDefault="00653F95" w:rsidP="00653F95">
      <w:pPr>
        <w:jc w:val="center"/>
        <w:rPr>
          <w:b/>
          <w:bCs/>
        </w:rPr>
      </w:pPr>
      <w:r>
        <w:rPr>
          <w:b/>
          <w:bCs/>
        </w:rPr>
        <w:t>SELETUSKIRI</w:t>
      </w:r>
    </w:p>
    <w:p w14:paraId="6D8C1AFC" w14:textId="77777777" w:rsidR="00237F04" w:rsidRDefault="00237F04" w:rsidP="00653F95">
      <w:pPr>
        <w:jc w:val="center"/>
        <w:rPr>
          <w:b/>
          <w:bCs/>
        </w:rPr>
      </w:pPr>
    </w:p>
    <w:p w14:paraId="32F423C4" w14:textId="77777777" w:rsidR="00653F95" w:rsidRDefault="00653F95" w:rsidP="00653F95">
      <w:pPr>
        <w:jc w:val="both"/>
        <w:rPr>
          <w:b/>
          <w:bCs/>
        </w:rPr>
      </w:pPr>
      <w:r>
        <w:rPr>
          <w:b/>
          <w:bCs/>
        </w:rPr>
        <w:t>maaeluministri määruse „</w:t>
      </w:r>
      <w:r>
        <w:rPr>
          <w:b/>
        </w:rPr>
        <w:t>Põllumajandusministri 12. juuni 2014. a määruse nr 31 „Nende tegevusalade ja käitlemisel kasutatavate ainete täpsustatud loetelu, mille puhul peab sööda käitleja esitama majandustegevusteate või mille puhul peab sööda käitlejal olema tegevusluba” muutmine</w:t>
      </w:r>
      <w:r>
        <w:rPr>
          <w:b/>
          <w:bCs/>
        </w:rPr>
        <w:t>” eelnõu juurde</w:t>
      </w:r>
    </w:p>
    <w:p w14:paraId="5B0CF789" w14:textId="77777777" w:rsidR="00653F95" w:rsidRDefault="00653F95" w:rsidP="00653F95">
      <w:pPr>
        <w:rPr>
          <w:b/>
          <w:bCs/>
        </w:rPr>
      </w:pPr>
    </w:p>
    <w:p w14:paraId="1B811ABD" w14:textId="77777777" w:rsidR="00653F95" w:rsidRPr="00173BAB" w:rsidRDefault="00653F95" w:rsidP="00653F95">
      <w:r>
        <w:rPr>
          <w:b/>
        </w:rPr>
        <w:t>1. Sissejuhatus</w:t>
      </w:r>
    </w:p>
    <w:p w14:paraId="42EB8194" w14:textId="77777777" w:rsidR="00653F95" w:rsidRPr="00173BAB" w:rsidRDefault="00653F95" w:rsidP="00653F95">
      <w:pPr>
        <w:widowControl w:val="0"/>
        <w:numPr>
          <w:ilvl w:val="0"/>
          <w:numId w:val="1"/>
        </w:numPr>
        <w:tabs>
          <w:tab w:val="num" w:pos="0"/>
        </w:tabs>
        <w:suppressAutoHyphens/>
        <w:autoSpaceDN/>
        <w:spacing w:line="255" w:lineRule="atLeast"/>
        <w:ind w:left="0" w:firstLine="0"/>
        <w:jc w:val="both"/>
        <w:rPr>
          <w:u w:val="single"/>
        </w:rPr>
      </w:pPr>
    </w:p>
    <w:p w14:paraId="5FD6D817" w14:textId="77777777" w:rsidR="00653F95" w:rsidRDefault="00653F95" w:rsidP="00653F95">
      <w:pPr>
        <w:widowControl w:val="0"/>
        <w:numPr>
          <w:ilvl w:val="0"/>
          <w:numId w:val="1"/>
        </w:numPr>
        <w:tabs>
          <w:tab w:val="num" w:pos="0"/>
        </w:tabs>
        <w:suppressAutoHyphens/>
        <w:autoSpaceDN/>
        <w:spacing w:line="255" w:lineRule="atLeast"/>
        <w:ind w:left="0" w:firstLine="0"/>
        <w:jc w:val="both"/>
      </w:pPr>
      <w:r>
        <w:t>1.1. Sisukokkuvõte</w:t>
      </w:r>
    </w:p>
    <w:p w14:paraId="502CD594" w14:textId="77777777" w:rsidR="00653F95" w:rsidRDefault="00653F95" w:rsidP="00653F95">
      <w:pPr>
        <w:widowControl w:val="0"/>
        <w:numPr>
          <w:ilvl w:val="0"/>
          <w:numId w:val="1"/>
        </w:numPr>
        <w:tabs>
          <w:tab w:val="num" w:pos="0"/>
        </w:tabs>
        <w:suppressAutoHyphens/>
        <w:autoSpaceDN/>
        <w:spacing w:line="255" w:lineRule="atLeast"/>
        <w:ind w:left="0" w:firstLine="0"/>
        <w:jc w:val="both"/>
      </w:pPr>
    </w:p>
    <w:p w14:paraId="630A65D5" w14:textId="77777777" w:rsidR="00653F95" w:rsidRDefault="00653F95" w:rsidP="00653F95">
      <w:pPr>
        <w:adjustRightInd w:val="0"/>
        <w:jc w:val="both"/>
      </w:pPr>
      <w:r>
        <w:t>Maaeluministri määruse „</w:t>
      </w:r>
      <w:r>
        <w:rPr>
          <w:bCs/>
        </w:rPr>
        <w:t>Põllumajandusministri 12. juuni 2014. a määruse nr 31 „Nende tegevusalade ja käitlemisel kasutatavate ainete täpsustatud loetelu, mille puhul peab sööda käitleja esitama majandustegevusteate või mille puhul peab sööda käitlejal olema tegevusluba” muutmine” eelnõu</w:t>
      </w:r>
      <w:r w:rsidRPr="005F565E">
        <w:rPr>
          <w:bCs/>
        </w:rPr>
        <w:t xml:space="preserve"> </w:t>
      </w:r>
      <w:r>
        <w:rPr>
          <w:bCs/>
        </w:rPr>
        <w:t xml:space="preserve">(edaspidi </w:t>
      </w:r>
      <w:r>
        <w:rPr>
          <w:bCs/>
          <w:i/>
        </w:rPr>
        <w:t>eelnõu</w:t>
      </w:r>
      <w:r>
        <w:rPr>
          <w:bCs/>
        </w:rPr>
        <w:t xml:space="preserve">) </w:t>
      </w:r>
      <w:r>
        <w:t xml:space="preserve">on välja töötatud </w:t>
      </w:r>
      <w:r>
        <w:rPr>
          <w:lang w:eastAsia="et-EE"/>
        </w:rPr>
        <w:t>söödaseaduse § 18 lõike 2 ja § 19 lõike 3 alusel.</w:t>
      </w:r>
      <w:r>
        <w:t xml:space="preserve"> </w:t>
      </w:r>
    </w:p>
    <w:p w14:paraId="20F178C5" w14:textId="77777777" w:rsidR="004D355C" w:rsidRDefault="004D355C" w:rsidP="00653F95">
      <w:pPr>
        <w:jc w:val="both"/>
      </w:pPr>
    </w:p>
    <w:p w14:paraId="6AB2CF9E" w14:textId="77777777" w:rsidR="00A30FA9" w:rsidRDefault="004D355C" w:rsidP="004D355C">
      <w:pPr>
        <w:jc w:val="both"/>
      </w:pPr>
      <w:r>
        <w:t>Määruse eelnõu väljatöötamise vajadus tuleneb peamiselt söödaseaduse</w:t>
      </w:r>
      <w:r w:rsidR="00FD1D55">
        <w:t xml:space="preserve"> muutmise seaduse eelnõust (499 SE), mis on läbinud </w:t>
      </w:r>
      <w:r w:rsidR="00DE7C5A">
        <w:t xml:space="preserve">teise </w:t>
      </w:r>
      <w:r w:rsidR="00FD1D55">
        <w:t>lugemise Riigikogus 2022. aasta</w:t>
      </w:r>
      <w:r w:rsidR="005E291C">
        <w:t xml:space="preserve"> 17. mail</w:t>
      </w:r>
      <w:r w:rsidR="00FD1D55">
        <w:t>. Söödaseaduse muutmise seaduse eelnõuga</w:t>
      </w:r>
      <w:r>
        <w:t xml:space="preserve"> </w:t>
      </w:r>
      <w:r w:rsidRPr="000D7BA9">
        <w:t xml:space="preserve">viiakse </w:t>
      </w:r>
      <w:r>
        <w:t xml:space="preserve">selles seaduses </w:t>
      </w:r>
      <w:r w:rsidRPr="000D7BA9">
        <w:t xml:space="preserve">kehtestatud </w:t>
      </w:r>
      <w:r w:rsidR="00BB0A48">
        <w:t>ravimsööda tootmise, turuleviimise ja kasutamise</w:t>
      </w:r>
      <w:r>
        <w:t xml:space="preserve"> põhimõtted</w:t>
      </w:r>
      <w:r w:rsidRPr="000D7BA9">
        <w:t xml:space="preserve"> kooskõlla </w:t>
      </w:r>
      <w:r>
        <w:t xml:space="preserve">alates </w:t>
      </w:r>
      <w:r w:rsidRPr="001B47E3">
        <w:t>20</w:t>
      </w:r>
      <w:r w:rsidR="00BB0A48">
        <w:t>22</w:t>
      </w:r>
      <w:r w:rsidRPr="001B47E3">
        <w:t xml:space="preserve">. aasta </w:t>
      </w:r>
      <w:r w:rsidR="00BB0A48">
        <w:t>28</w:t>
      </w:r>
      <w:r w:rsidRPr="001B47E3">
        <w:t xml:space="preserve">. </w:t>
      </w:r>
      <w:r w:rsidR="00BB0A48">
        <w:t>jaanuar</w:t>
      </w:r>
      <w:r w:rsidRPr="001B47E3">
        <w:t>i</w:t>
      </w:r>
      <w:r>
        <w:t>st kohald</w:t>
      </w:r>
      <w:r w:rsidR="009126A1">
        <w:t>u</w:t>
      </w:r>
      <w:r w:rsidR="00FD1D55">
        <w:t>nud</w:t>
      </w:r>
      <w:r w:rsidRPr="000D7BA9">
        <w:t xml:space="preserve"> määrus</w:t>
      </w:r>
      <w:r>
        <w:t>e</w:t>
      </w:r>
      <w:r w:rsidR="00BB0A48">
        <w:t xml:space="preserve"> </w:t>
      </w:r>
      <w:r w:rsidR="00BB0A48" w:rsidRPr="00E019DA">
        <w:t>(EL) 2019/4</w:t>
      </w:r>
      <w:r w:rsidR="00BB0A48">
        <w:rPr>
          <w:rStyle w:val="FootnoteReference"/>
        </w:rPr>
        <w:footnoteReference w:id="1"/>
      </w:r>
      <w:r w:rsidR="00BB0A48">
        <w:t xml:space="preserve"> </w:t>
      </w:r>
      <w:r w:rsidRPr="000D7BA9">
        <w:t>säte</w:t>
      </w:r>
      <w:r>
        <w:t>tega</w:t>
      </w:r>
      <w:r w:rsidRPr="001B47E3">
        <w:t>.</w:t>
      </w:r>
      <w:r>
        <w:t xml:space="preserve"> </w:t>
      </w:r>
      <w:r w:rsidR="00DB5929">
        <w:t>Söödaseaduse muutmise seadus</w:t>
      </w:r>
      <w:r w:rsidR="00746010">
        <w:t>e</w:t>
      </w:r>
      <w:r w:rsidR="00DB5929">
        <w:t xml:space="preserve"> (499 SE) </w:t>
      </w:r>
      <w:r w:rsidR="007E2461">
        <w:t xml:space="preserve">kavandatud </w:t>
      </w:r>
      <w:r w:rsidR="00746010">
        <w:t xml:space="preserve">jõustumisaeg on </w:t>
      </w:r>
      <w:r w:rsidR="00DB5929">
        <w:t>2022.</w:t>
      </w:r>
      <w:r w:rsidR="001E1DF6">
        <w:t> </w:t>
      </w:r>
      <w:r w:rsidR="00DB5929">
        <w:t>aasta</w:t>
      </w:r>
      <w:r w:rsidR="005E0BB3">
        <w:t xml:space="preserve"> 1. juulil</w:t>
      </w:r>
      <w:r w:rsidR="00DB5929">
        <w:t>.</w:t>
      </w:r>
    </w:p>
    <w:p w14:paraId="68D3C71F" w14:textId="77777777" w:rsidR="00726BA1" w:rsidRDefault="00726BA1" w:rsidP="004D355C">
      <w:pPr>
        <w:jc w:val="both"/>
      </w:pPr>
    </w:p>
    <w:p w14:paraId="1F8AF197" w14:textId="77777777" w:rsidR="00726BA1" w:rsidRPr="00E019DA" w:rsidRDefault="00726BA1" w:rsidP="00726BA1">
      <w:pPr>
        <w:pStyle w:val="Default"/>
        <w:jc w:val="both"/>
        <w:rPr>
          <w:color w:val="auto"/>
        </w:rPr>
      </w:pPr>
      <w:r w:rsidRPr="00E019DA">
        <w:rPr>
          <w:color w:val="auto"/>
        </w:rPr>
        <w:t xml:space="preserve">Eelnõuga kavandatu kohaselt lisandub teatud sööda käitlejatele loakohustus, sest tulenevalt määrusest (EL) 2019/4 </w:t>
      </w:r>
      <w:r w:rsidRPr="00E019DA">
        <w:rPr>
          <w:color w:val="auto"/>
          <w:shd w:val="clear" w:color="auto" w:fill="FFFFFF"/>
        </w:rPr>
        <w:t xml:space="preserve">peab sööda käitlejal edaspidi olema tegevusluba, kui tema ettevõttes tegeletakse ravimsööda ja vahetoote tootmise, nende veo või turuleviimisega. Kehtiva korra kohaselt on tegevusluba nõutud üksnes ravimsööda tootmise korral. Muude kui eespool nimetatud ravimsööda käitlemisega seotud tegevuste puhul, sealhulgas lemmikloomadele ette nähtud ravimsööda jaemüügi puhul, </w:t>
      </w:r>
      <w:r w:rsidRPr="00E019DA">
        <w:rPr>
          <w:color w:val="auto"/>
        </w:rPr>
        <w:t xml:space="preserve">peab sööda käitleja esitama majandustegevusteate. </w:t>
      </w:r>
    </w:p>
    <w:p w14:paraId="3062F4F7" w14:textId="77777777" w:rsidR="00726BA1" w:rsidRPr="00E019DA" w:rsidRDefault="00726BA1" w:rsidP="00726BA1">
      <w:pPr>
        <w:tabs>
          <w:tab w:val="left" w:pos="426"/>
        </w:tabs>
        <w:jc w:val="both"/>
      </w:pPr>
    </w:p>
    <w:p w14:paraId="5F5C69AA" w14:textId="77777777" w:rsidR="00726BA1" w:rsidRDefault="00726BA1" w:rsidP="00726BA1">
      <w:pPr>
        <w:pStyle w:val="Default"/>
        <w:jc w:val="both"/>
        <w:rPr>
          <w:color w:val="auto"/>
        </w:rPr>
      </w:pPr>
      <w:r w:rsidRPr="00E019DA">
        <w:rPr>
          <w:color w:val="auto"/>
        </w:rPr>
        <w:t>Sööda käitleja, kellel on asjakohane tegevusluba, võib jätkata oma tegevust tingimusel, et ta esitab hiljemalt 2022. aasta</w:t>
      </w:r>
      <w:r w:rsidR="00433C01">
        <w:rPr>
          <w:color w:val="auto"/>
        </w:rPr>
        <w:t xml:space="preserve"> 28. juuliks</w:t>
      </w:r>
      <w:r w:rsidRPr="00E019DA">
        <w:rPr>
          <w:color w:val="auto"/>
        </w:rPr>
        <w:t xml:space="preserve"> Põllumajandus- ja Toiduametile (edaspidi </w:t>
      </w:r>
      <w:r w:rsidRPr="00E019DA">
        <w:rPr>
          <w:i/>
          <w:color w:val="auto"/>
        </w:rPr>
        <w:t>PTA</w:t>
      </w:r>
      <w:r w:rsidRPr="00E019DA">
        <w:rPr>
          <w:color w:val="auto"/>
        </w:rPr>
        <w:t xml:space="preserve">) teate selle kohta, et </w:t>
      </w:r>
      <w:r w:rsidRPr="00E019DA">
        <w:t>ravimsööda või vahetoote tootmiseks, ladustamiseks, veoks või turuleviimiseks</w:t>
      </w:r>
      <w:r w:rsidRPr="00E019DA">
        <w:rPr>
          <w:color w:val="auto"/>
        </w:rPr>
        <w:t xml:space="preserve"> kehtestatud süsteem vastab määrus</w:t>
      </w:r>
      <w:r w:rsidR="00DB266D">
        <w:rPr>
          <w:color w:val="auto"/>
        </w:rPr>
        <w:t>e</w:t>
      </w:r>
      <w:r w:rsidRPr="00E019DA">
        <w:rPr>
          <w:color w:val="auto"/>
        </w:rPr>
        <w:t xml:space="preserve"> (EL) 2019/4 II peatüki erinõuetele.</w:t>
      </w:r>
    </w:p>
    <w:p w14:paraId="774E98F6" w14:textId="77777777" w:rsidR="007948DD" w:rsidRDefault="007948DD" w:rsidP="004D355C">
      <w:pPr>
        <w:jc w:val="both"/>
      </w:pPr>
    </w:p>
    <w:p w14:paraId="1D4F1F63" w14:textId="77777777" w:rsidR="004D355C" w:rsidRPr="006B4310" w:rsidRDefault="00BB0A48" w:rsidP="004D355C">
      <w:pPr>
        <w:jc w:val="both"/>
        <w:rPr>
          <w:bCs/>
        </w:rPr>
      </w:pPr>
      <w:r>
        <w:t xml:space="preserve">Lisaks eelnevale on </w:t>
      </w:r>
      <w:r w:rsidR="00A30FA9">
        <w:t xml:space="preserve">eelnõu koostamisel </w:t>
      </w:r>
      <w:r w:rsidR="00452A4B">
        <w:t xml:space="preserve">arvestatud </w:t>
      </w:r>
      <w:r w:rsidR="00A30FA9">
        <w:t>ka parendusettepanekutega, milleni jõuti söödaohutuse tervikteenuse</w:t>
      </w:r>
      <w:r w:rsidR="00B22EFA">
        <w:rPr>
          <w:rStyle w:val="FootnoteReference"/>
        </w:rPr>
        <w:footnoteReference w:id="2"/>
      </w:r>
      <w:r w:rsidR="00A30FA9">
        <w:t xml:space="preserve"> III f</w:t>
      </w:r>
      <w:r w:rsidR="00A30FA9" w:rsidRPr="003C534E">
        <w:t>ookusteema „Riskide hindamiseks vajalike andmete esitamise ulatus ja asjakohasus tegelemisel tegevusaladel, mille puhul peab isik esitama majandustegevusteate või tal peab olema tegev</w:t>
      </w:r>
      <w:r w:rsidR="00A30FA9">
        <w:t>usluba enne tegevuse alustamist</w:t>
      </w:r>
      <w:r w:rsidR="00A30FA9">
        <w:rPr>
          <w:bCs/>
        </w:rPr>
        <w:t xml:space="preserve">” </w:t>
      </w:r>
      <w:r w:rsidR="00431AF2">
        <w:rPr>
          <w:bCs/>
        </w:rPr>
        <w:t xml:space="preserve">(edaspidi </w:t>
      </w:r>
      <w:r w:rsidR="00431AF2" w:rsidRPr="00431AF2">
        <w:rPr>
          <w:i/>
        </w:rPr>
        <w:t>söödaohutuse tervikteenuse III fookusteema</w:t>
      </w:r>
      <w:r w:rsidR="00431AF2">
        <w:t>)</w:t>
      </w:r>
      <w:r w:rsidR="00431AF2" w:rsidRPr="003C534E">
        <w:t xml:space="preserve"> </w:t>
      </w:r>
      <w:r w:rsidR="00A30FA9">
        <w:rPr>
          <w:bCs/>
        </w:rPr>
        <w:t>arutelude käigus.</w:t>
      </w:r>
      <w:r w:rsidR="005A7D78">
        <w:rPr>
          <w:bCs/>
        </w:rPr>
        <w:t xml:space="preserve"> </w:t>
      </w:r>
      <w:r w:rsidR="005A7D78" w:rsidRPr="006B4310">
        <w:t>Analüüsi peami</w:t>
      </w:r>
      <w:r w:rsidR="00DD56D9" w:rsidRPr="006B4310">
        <w:t>ne</w:t>
      </w:r>
      <w:r w:rsidR="005A7D78" w:rsidRPr="006B4310">
        <w:t xml:space="preserve"> eesmärk oli </w:t>
      </w:r>
      <w:r w:rsidR="00C044BD" w:rsidRPr="006B4310">
        <w:t xml:space="preserve">parandada </w:t>
      </w:r>
      <w:r w:rsidR="00D203E7" w:rsidRPr="006B4310">
        <w:t xml:space="preserve">tervikprotsessi, </w:t>
      </w:r>
      <w:r w:rsidR="005A7D78" w:rsidRPr="006B4310">
        <w:t xml:space="preserve">määratleda </w:t>
      </w:r>
      <w:r w:rsidR="006B4310">
        <w:t xml:space="preserve">selle </w:t>
      </w:r>
      <w:r w:rsidR="005A7D78" w:rsidRPr="006B4310">
        <w:t xml:space="preserve">probleemkohad ja leida </w:t>
      </w:r>
      <w:r w:rsidR="002A1C2C" w:rsidRPr="006B4310">
        <w:t xml:space="preserve">parimad </w:t>
      </w:r>
      <w:r w:rsidR="005A7D78" w:rsidRPr="006B4310">
        <w:t xml:space="preserve">võimalikud lahendused PTA töö </w:t>
      </w:r>
      <w:r w:rsidR="00BC41D8" w:rsidRPr="006B4310">
        <w:t xml:space="preserve">tõhusamaks </w:t>
      </w:r>
      <w:r w:rsidR="005A7D78" w:rsidRPr="006B4310">
        <w:t>ressursikasutuseks, et tagada söödaohutus kogu söödaahelas.</w:t>
      </w:r>
    </w:p>
    <w:p w14:paraId="7F73E2EA" w14:textId="77777777" w:rsidR="004D355C" w:rsidRDefault="004D355C" w:rsidP="00653F95">
      <w:pPr>
        <w:jc w:val="both"/>
      </w:pPr>
    </w:p>
    <w:p w14:paraId="1BD535ED" w14:textId="77777777" w:rsidR="00615BE9" w:rsidRDefault="00736942" w:rsidP="00615BE9">
      <w:pPr>
        <w:jc w:val="both"/>
        <w:rPr>
          <w:lang w:eastAsia="et-EE"/>
        </w:rPr>
      </w:pPr>
      <w:r>
        <w:rPr>
          <w:lang w:eastAsia="et-EE"/>
        </w:rPr>
        <w:t>Arvestades eelneva</w:t>
      </w:r>
      <w:r w:rsidR="00855181">
        <w:rPr>
          <w:lang w:eastAsia="et-EE"/>
        </w:rPr>
        <w:t>t</w:t>
      </w:r>
      <w:r w:rsidR="00653F95">
        <w:rPr>
          <w:lang w:eastAsia="et-EE"/>
        </w:rPr>
        <w:t xml:space="preserve">, tuleb </w:t>
      </w:r>
      <w:r w:rsidR="00A30FA9">
        <w:t xml:space="preserve">põllumajandusministri </w:t>
      </w:r>
      <w:r w:rsidR="00A30FA9">
        <w:rPr>
          <w:bCs/>
        </w:rPr>
        <w:t xml:space="preserve">12. juuni 2014. a määrust nr 31 „Nende tegevusalade ja käitlemisel kasutatavate ainete täpsustatud loetelu, mille puhul peab sööda käitleja esitama majandustegevusteate või mille puhul peab sööda käitlejal olema tegevusluba” (edaspidi </w:t>
      </w:r>
      <w:r w:rsidR="00A30FA9">
        <w:rPr>
          <w:bCs/>
          <w:i/>
        </w:rPr>
        <w:t>põllumajandusministri</w:t>
      </w:r>
      <w:r w:rsidR="00A30FA9">
        <w:rPr>
          <w:bCs/>
        </w:rPr>
        <w:t xml:space="preserve"> </w:t>
      </w:r>
      <w:r w:rsidR="00A30FA9">
        <w:rPr>
          <w:i/>
        </w:rPr>
        <w:t>määrus nr 31</w:t>
      </w:r>
      <w:r w:rsidR="00A30FA9">
        <w:t xml:space="preserve">) </w:t>
      </w:r>
      <w:r w:rsidR="00653F95">
        <w:rPr>
          <w:lang w:eastAsia="et-EE"/>
        </w:rPr>
        <w:t>muuta,</w:t>
      </w:r>
      <w:r w:rsidR="00653F95">
        <w:rPr>
          <w:bCs/>
        </w:rPr>
        <w:t xml:space="preserve"> täpsustades nende </w:t>
      </w:r>
      <w:r w:rsidR="00653F95">
        <w:t xml:space="preserve">tegevusalade ja </w:t>
      </w:r>
      <w:r w:rsidR="00653F95">
        <w:lastRenderedPageBreak/>
        <w:t>käitlemisel kasutatavate ainete loetelu, mille puhul peab sööda käitleja esitama majandustegevusteate või mille puhul peab sööda käitlejal olema tegevusluba</w:t>
      </w:r>
      <w:r w:rsidR="009B2BAD">
        <w:rPr>
          <w:lang w:eastAsia="et-EE"/>
        </w:rPr>
        <w:t>.</w:t>
      </w:r>
    </w:p>
    <w:p w14:paraId="5D8295F2" w14:textId="77777777" w:rsidR="00615BE9" w:rsidRDefault="00615BE9" w:rsidP="00615BE9">
      <w:pPr>
        <w:jc w:val="both"/>
        <w:rPr>
          <w:lang w:eastAsia="et-EE"/>
        </w:rPr>
      </w:pPr>
    </w:p>
    <w:p w14:paraId="75BF3E60" w14:textId="77777777" w:rsidR="00596065" w:rsidRDefault="009B2BAD" w:rsidP="00726BA1">
      <w:pPr>
        <w:pStyle w:val="Default"/>
        <w:jc w:val="both"/>
        <w:rPr>
          <w:color w:val="auto"/>
        </w:rPr>
      </w:pPr>
      <w:r>
        <w:rPr>
          <w:bCs/>
        </w:rPr>
        <w:t>Põhili</w:t>
      </w:r>
      <w:r w:rsidR="0075180E">
        <w:rPr>
          <w:bCs/>
        </w:rPr>
        <w:t>ne</w:t>
      </w:r>
      <w:r>
        <w:rPr>
          <w:bCs/>
        </w:rPr>
        <w:t xml:space="preserve"> s</w:t>
      </w:r>
      <w:r>
        <w:t xml:space="preserve">ihtrühm on ettevõtjad, kes soovivad tegeleda </w:t>
      </w:r>
      <w:r w:rsidR="00615BE9">
        <w:t xml:space="preserve">ravimsööda või ravimsööda vahetoote tootmise, turuleviimise ja kasutamisega. </w:t>
      </w:r>
    </w:p>
    <w:p w14:paraId="44C8E46F" w14:textId="77777777" w:rsidR="009E0A94" w:rsidRDefault="009E0A94" w:rsidP="00615BE9">
      <w:pPr>
        <w:jc w:val="both"/>
      </w:pPr>
    </w:p>
    <w:p w14:paraId="69F03E07" w14:textId="77777777" w:rsidR="009B2BAD" w:rsidRDefault="009B2BAD" w:rsidP="00615BE9">
      <w:pPr>
        <w:jc w:val="both"/>
        <w:rPr>
          <w:bCs/>
        </w:rPr>
      </w:pPr>
      <w:r>
        <w:t xml:space="preserve">Samuti puudutab eelnõuga kavandatu ettevõtjaid, kelle ettevõttes tegeletakse </w:t>
      </w:r>
      <w:r w:rsidR="000E5E5E">
        <w:t>sööda ladustamise või müümisega jaekaubanduses, sealhulgas sidevahendite</w:t>
      </w:r>
      <w:r w:rsidR="000E5E5E">
        <w:rPr>
          <w:lang w:eastAsia="et-EE"/>
        </w:rPr>
        <w:t xml:space="preserve"> kaudu</w:t>
      </w:r>
      <w:r w:rsidR="00157AC7">
        <w:rPr>
          <w:lang w:eastAsia="et-EE"/>
        </w:rPr>
        <w:t>,</w:t>
      </w:r>
      <w:r w:rsidR="000E5E5E">
        <w:rPr>
          <w:lang w:eastAsia="et-EE"/>
        </w:rPr>
        <w:t xml:space="preserve"> või</w:t>
      </w:r>
      <w:r w:rsidR="000E5E5E" w:rsidRPr="000E5E5E">
        <w:t xml:space="preserve"> </w:t>
      </w:r>
      <w:r w:rsidR="000E5E5E">
        <w:t>ostetud sööda pakendamise või</w:t>
      </w:r>
      <w:r w:rsidR="000E5E5E" w:rsidRPr="000E5E5E">
        <w:t xml:space="preserve"> </w:t>
      </w:r>
      <w:r w:rsidR="000E5E5E">
        <w:t>segasööda tootmisega selleks spetsiaalselt seadmestatud veokis või</w:t>
      </w:r>
      <w:r w:rsidR="000E5E5E" w:rsidRPr="000E5E5E">
        <w:t xml:space="preserve"> </w:t>
      </w:r>
      <w:r w:rsidR="000E5E5E">
        <w:t>lemmikloomatoidu tootmisega.</w:t>
      </w:r>
      <w:r>
        <w:rPr>
          <w:lang w:eastAsia="et-EE"/>
        </w:rPr>
        <w:t xml:space="preserve"> </w:t>
      </w:r>
    </w:p>
    <w:p w14:paraId="40888C3A" w14:textId="77777777" w:rsidR="00F85B29" w:rsidRDefault="00F85B29" w:rsidP="00615BE9">
      <w:pPr>
        <w:jc w:val="both"/>
        <w:rPr>
          <w:bCs/>
        </w:rPr>
      </w:pPr>
    </w:p>
    <w:p w14:paraId="5178664F" w14:textId="6232C1F6" w:rsidR="00F85B29" w:rsidRDefault="00F85B29" w:rsidP="00F85B29">
      <w:pPr>
        <w:jc w:val="both"/>
      </w:pPr>
      <w:r>
        <w:t>Juba tegutsevate ettevõtjate halduskoormust p</w:t>
      </w:r>
      <w:r>
        <w:rPr>
          <w:lang w:eastAsia="et-EE"/>
        </w:rPr>
        <w:t>õllumajandusministri määruse nr 31 muutmine</w:t>
      </w:r>
      <w:r>
        <w:t xml:space="preserve"> oluliselt ei mõjuta.</w:t>
      </w:r>
      <w:r>
        <w:rPr>
          <w:lang w:eastAsia="et-EE"/>
        </w:rPr>
        <w:t xml:space="preserve"> </w:t>
      </w:r>
      <w:r w:rsidR="00D203E7" w:rsidRPr="00D203E7">
        <w:rPr>
          <w:lang w:eastAsia="et-EE"/>
        </w:rPr>
        <w:t>Mit</w:t>
      </w:r>
      <w:r w:rsidR="00C87580">
        <w:rPr>
          <w:lang w:eastAsia="et-EE"/>
        </w:rPr>
        <w:t>u</w:t>
      </w:r>
      <w:r w:rsidR="00D203E7" w:rsidRPr="00D203E7">
        <w:rPr>
          <w:lang w:eastAsia="et-EE"/>
        </w:rPr>
        <w:t xml:space="preserve"> eelnõuga kavandatava</w:t>
      </w:r>
      <w:r w:rsidR="00C87580">
        <w:rPr>
          <w:lang w:eastAsia="et-EE"/>
        </w:rPr>
        <w:t>t</w:t>
      </w:r>
      <w:r w:rsidR="00D203E7" w:rsidRPr="00D203E7">
        <w:rPr>
          <w:lang w:eastAsia="et-EE"/>
        </w:rPr>
        <w:t xml:space="preserve"> tegevusalade nimetust puudutava</w:t>
      </w:r>
      <w:r w:rsidR="00C87580">
        <w:rPr>
          <w:lang w:eastAsia="et-EE"/>
        </w:rPr>
        <w:t>t</w:t>
      </w:r>
      <w:r w:rsidR="00D203E7" w:rsidRPr="00D203E7">
        <w:rPr>
          <w:lang w:eastAsia="et-EE"/>
        </w:rPr>
        <w:t xml:space="preserve"> täpsustus</w:t>
      </w:r>
      <w:r w:rsidR="00C87580">
        <w:rPr>
          <w:lang w:eastAsia="et-EE"/>
        </w:rPr>
        <w:t>t</w:t>
      </w:r>
      <w:r w:rsidR="00D203E7" w:rsidRPr="00D203E7">
        <w:rPr>
          <w:lang w:eastAsia="et-EE"/>
        </w:rPr>
        <w:t xml:space="preserve"> on pigem tehnilist laadi ning seetõttu ei kaasne sellega sööda käitlejal kohustust esitada uus majandustegevusteade</w:t>
      </w:r>
      <w:r w:rsidR="00C47B2B">
        <w:rPr>
          <w:lang w:eastAsia="et-EE"/>
        </w:rPr>
        <w:t xml:space="preserve"> või taotleda uus</w:t>
      </w:r>
      <w:r w:rsidR="00714FEF">
        <w:rPr>
          <w:lang w:eastAsia="et-EE"/>
        </w:rPr>
        <w:t xml:space="preserve"> tegevusluba</w:t>
      </w:r>
      <w:r w:rsidR="00D203E7" w:rsidRPr="00D203E7">
        <w:rPr>
          <w:lang w:eastAsia="et-EE"/>
        </w:rPr>
        <w:t>.</w:t>
      </w:r>
      <w:r w:rsidR="00D203E7">
        <w:rPr>
          <w:lang w:eastAsia="et-EE"/>
        </w:rPr>
        <w:t xml:space="preserve"> </w:t>
      </w:r>
      <w:r>
        <w:rPr>
          <w:lang w:eastAsia="et-EE"/>
        </w:rPr>
        <w:t>Juhul</w:t>
      </w:r>
      <w:r w:rsidR="00357465">
        <w:rPr>
          <w:lang w:eastAsia="et-EE"/>
        </w:rPr>
        <w:t>,</w:t>
      </w:r>
      <w:r>
        <w:rPr>
          <w:lang w:eastAsia="et-EE"/>
        </w:rPr>
        <w:t xml:space="preserve"> kui isik soovib oma ettevõtte tegevust laiendada või hakata tegelema mõne eespool nimetatud tegevusalaga, tuleb tal </w:t>
      </w:r>
      <w:r>
        <w:rPr>
          <w:color w:val="000000" w:themeColor="text1"/>
        </w:rPr>
        <w:t>esitada PTA-le asjakohane majandustegevusteade või tegevusloa taotlus.</w:t>
      </w:r>
      <w:r>
        <w:t xml:space="preserve"> Nii majandustegevusteade kui ka tegevusloa taotlus esitatakse üks kord.</w:t>
      </w:r>
    </w:p>
    <w:p w14:paraId="12F9CB5B" w14:textId="77777777" w:rsidR="00F85B29" w:rsidRDefault="00F85B29" w:rsidP="00615BE9">
      <w:pPr>
        <w:jc w:val="both"/>
        <w:rPr>
          <w:bCs/>
        </w:rPr>
      </w:pPr>
    </w:p>
    <w:p w14:paraId="13FB0FB1" w14:textId="16CEB78A" w:rsidR="00F85B29" w:rsidRDefault="00F85B29" w:rsidP="00615BE9">
      <w:pPr>
        <w:jc w:val="both"/>
        <w:rPr>
          <w:bCs/>
        </w:rPr>
      </w:pPr>
      <w:r>
        <w:rPr>
          <w:rFonts w:cs="Arial"/>
        </w:rPr>
        <w:t xml:space="preserve">Osaliselt on sihtrühm ka PTA järelevalveametnikud, kelle töökoormus võib </w:t>
      </w:r>
      <w:r w:rsidR="006B6FA6">
        <w:rPr>
          <w:rFonts w:cs="Arial"/>
        </w:rPr>
        <w:t xml:space="preserve">uute loataotluste menetlemise tõttu </w:t>
      </w:r>
      <w:r w:rsidR="00363B49">
        <w:rPr>
          <w:rFonts w:cs="Arial"/>
        </w:rPr>
        <w:t xml:space="preserve">ajutiselt </w:t>
      </w:r>
      <w:r>
        <w:rPr>
          <w:rFonts w:cs="Arial"/>
        </w:rPr>
        <w:t>kasvada.</w:t>
      </w:r>
      <w:r w:rsidR="00D203E7" w:rsidRPr="00D203E7">
        <w:t xml:space="preserve"> </w:t>
      </w:r>
      <w:r w:rsidR="00D203E7" w:rsidRPr="00D203E7">
        <w:rPr>
          <w:rFonts w:cs="Arial"/>
        </w:rPr>
        <w:t>Kuna teatavate tegevusalade puhul uusi nõudeid ei kehtestata, vai</w:t>
      </w:r>
      <w:r w:rsidR="006E6C9B">
        <w:rPr>
          <w:rFonts w:cs="Arial"/>
        </w:rPr>
        <w:t>d muudetakse tegevusala nimetust</w:t>
      </w:r>
      <w:r w:rsidR="00D203E7" w:rsidRPr="00D203E7">
        <w:rPr>
          <w:rFonts w:cs="Arial"/>
        </w:rPr>
        <w:t>, saab PT</w:t>
      </w:r>
      <w:r w:rsidR="00D203E7">
        <w:rPr>
          <w:rFonts w:cs="Arial"/>
        </w:rPr>
        <w:t>A korrastada registri</w:t>
      </w:r>
      <w:r w:rsidR="00A85959">
        <w:rPr>
          <w:rFonts w:cs="Arial"/>
        </w:rPr>
        <w:t>t</w:t>
      </w:r>
      <w:r w:rsidR="001E1DF6">
        <w:rPr>
          <w:rFonts w:cs="Arial"/>
        </w:rPr>
        <w:t>,</w:t>
      </w:r>
      <w:r w:rsidR="00D203E7">
        <w:rPr>
          <w:rFonts w:cs="Arial"/>
        </w:rPr>
        <w:t xml:space="preserve"> kasutades</w:t>
      </w:r>
      <w:r w:rsidR="00D203E7" w:rsidRPr="00D203E7">
        <w:rPr>
          <w:rFonts w:cs="Arial"/>
        </w:rPr>
        <w:t xml:space="preserve"> selle</w:t>
      </w:r>
      <w:r w:rsidR="00D203E7">
        <w:rPr>
          <w:rFonts w:cs="Arial"/>
        </w:rPr>
        <w:t>k</w:t>
      </w:r>
      <w:r w:rsidR="00D203E7" w:rsidRPr="00D203E7">
        <w:rPr>
          <w:rFonts w:cs="Arial"/>
        </w:rPr>
        <w:t>s</w:t>
      </w:r>
      <w:r w:rsidR="00D203E7">
        <w:rPr>
          <w:rFonts w:cs="Arial"/>
        </w:rPr>
        <w:t xml:space="preserve"> </w:t>
      </w:r>
      <w:r w:rsidR="00D203E7" w:rsidRPr="00D203E7">
        <w:rPr>
          <w:rFonts w:cs="Arial"/>
        </w:rPr>
        <w:t>registris olevaid andmeid.</w:t>
      </w:r>
    </w:p>
    <w:p w14:paraId="2195C488" w14:textId="77777777" w:rsidR="009E0A94" w:rsidRDefault="009E0A94" w:rsidP="00615BE9">
      <w:pPr>
        <w:jc w:val="both"/>
        <w:rPr>
          <w:bCs/>
        </w:rPr>
      </w:pPr>
    </w:p>
    <w:p w14:paraId="09A156F9" w14:textId="77777777" w:rsidR="009E0A94" w:rsidRDefault="009E0A94" w:rsidP="009E0A94">
      <w:pPr>
        <w:autoSpaceDE/>
        <w:jc w:val="both"/>
      </w:pPr>
      <w:r>
        <w:rPr>
          <w:bCs/>
          <w:iCs/>
        </w:rPr>
        <w:t xml:space="preserve">Eelnõuga kavandatu </w:t>
      </w:r>
      <w:r>
        <w:t xml:space="preserve">toetab </w:t>
      </w:r>
      <w:r w:rsidR="002A693C">
        <w:t>„</w:t>
      </w:r>
      <w:r>
        <w:t xml:space="preserve">põllumajanduse ja kalanduse valdkonna arengukava </w:t>
      </w:r>
      <w:r w:rsidRPr="002A693C">
        <w:t>aastani 2030</w:t>
      </w:r>
      <w:r>
        <w:t xml:space="preserve"> alaeesmärgi „Tark ja kestlik põllumajandus, toidutootmine ja maaelu ning ohutu toit ja hoitud keskkond</w:t>
      </w:r>
      <w:r>
        <w:rPr>
          <w:bCs/>
        </w:rPr>
        <w:t>”</w:t>
      </w:r>
      <w:r w:rsidR="00D8329C">
        <w:rPr>
          <w:bCs/>
        </w:rPr>
        <w:t>”</w:t>
      </w:r>
      <w:r>
        <w:rPr>
          <w:bCs/>
        </w:rPr>
        <w:t xml:space="preserve"> saavutamist</w:t>
      </w:r>
      <w:r>
        <w:rPr>
          <w:bCs/>
          <w:iCs/>
        </w:rPr>
        <w:t xml:space="preserve">, sest </w:t>
      </w:r>
      <w:r>
        <w:t>m</w:t>
      </w:r>
      <w:r w:rsidRPr="006D23C3">
        <w:t>ääruses tehtavate muudatuste</w:t>
      </w:r>
      <w:r>
        <w:t>ga</w:t>
      </w:r>
      <w:r w:rsidRPr="006D23C3">
        <w:t xml:space="preserve"> </w:t>
      </w:r>
      <w:r w:rsidRPr="00AD32C8">
        <w:t>tõhusta</w:t>
      </w:r>
      <w:r>
        <w:t>takse</w:t>
      </w:r>
      <w:r w:rsidRPr="00AD32C8">
        <w:t xml:space="preserve"> järelevalvet sellise sööda tootmise ja söötmise üle, mis võib ilma regulaarse kontrollita olla ohtlik inimese ja looma tervisele.</w:t>
      </w:r>
    </w:p>
    <w:p w14:paraId="0D923F77" w14:textId="77777777" w:rsidR="009E0A94" w:rsidRPr="006D23C3" w:rsidRDefault="009E0A94" w:rsidP="009E0A94">
      <w:pPr>
        <w:jc w:val="both"/>
      </w:pPr>
    </w:p>
    <w:p w14:paraId="3E9963C4" w14:textId="77777777" w:rsidR="00653F95" w:rsidRDefault="00653F95" w:rsidP="00653F95">
      <w:pPr>
        <w:jc w:val="both"/>
      </w:pPr>
      <w:r w:rsidRPr="00F85B29">
        <w:t>1.2. Eelnõu ettevalmistaja</w:t>
      </w:r>
    </w:p>
    <w:p w14:paraId="1D951E23" w14:textId="77777777" w:rsidR="00653F95" w:rsidRDefault="00653F95" w:rsidP="00653F95">
      <w:pPr>
        <w:jc w:val="both"/>
      </w:pPr>
    </w:p>
    <w:p w14:paraId="7CB1E693" w14:textId="77777777" w:rsidR="00643B45" w:rsidRPr="006D23C3" w:rsidRDefault="00643B45" w:rsidP="00643B45">
      <w:pPr>
        <w:jc w:val="both"/>
      </w:pPr>
      <w:r w:rsidRPr="006D23C3">
        <w:t xml:space="preserve">Eelnõu on ette valmistanud Maaeluministeeriumi toiduohutuse osakonna </w:t>
      </w:r>
      <w:r>
        <w:t xml:space="preserve">nõunik </w:t>
      </w:r>
      <w:r w:rsidRPr="006D23C3">
        <w:t>Eda Ernes</w:t>
      </w:r>
      <w:r>
        <w:t xml:space="preserve"> </w:t>
      </w:r>
      <w:r w:rsidRPr="006D23C3">
        <w:t>(625</w:t>
      </w:r>
      <w:r>
        <w:t> </w:t>
      </w:r>
      <w:r w:rsidRPr="006D23C3">
        <w:t>6126</w:t>
      </w:r>
      <w:r>
        <w:t>,</w:t>
      </w:r>
      <w:r w:rsidRPr="006D23C3">
        <w:t xml:space="preserve"> eda.ernes@agri.ee). Juriidilise ekspertiisi eelnõule tegi sama ministeeriumi õigusosakonna nõunik Diana Rammul (625</w:t>
      </w:r>
      <w:r>
        <w:t> </w:t>
      </w:r>
      <w:r w:rsidRPr="006D23C3">
        <w:t>6259</w:t>
      </w:r>
      <w:r>
        <w:t>,</w:t>
      </w:r>
      <w:r w:rsidRPr="006D23C3">
        <w:t xml:space="preserve"> diana.rammul@agri.ee) ja eelnõu toimetas keeleliselt sama osakonna peaspetsialist</w:t>
      </w:r>
      <w:r w:rsidR="00D92746">
        <w:t xml:space="preserve"> Heleri Piip (625 6165, Heleri.Piip</w:t>
      </w:r>
      <w:r w:rsidR="00D92746" w:rsidRPr="006D23C3">
        <w:t>@</w:t>
      </w:r>
      <w:r w:rsidR="00D92746">
        <w:t>agri.ee)</w:t>
      </w:r>
      <w:r w:rsidRPr="006D23C3">
        <w:t>.</w:t>
      </w:r>
    </w:p>
    <w:p w14:paraId="4FE788A4" w14:textId="77777777" w:rsidR="00653F95" w:rsidRDefault="00653F95" w:rsidP="00653F95">
      <w:pPr>
        <w:adjustRightInd w:val="0"/>
        <w:jc w:val="both"/>
      </w:pPr>
    </w:p>
    <w:p w14:paraId="0071E382" w14:textId="77777777" w:rsidR="00653F95" w:rsidRDefault="00653F95" w:rsidP="00653F95">
      <w:pPr>
        <w:adjustRightInd w:val="0"/>
        <w:jc w:val="both"/>
      </w:pPr>
      <w:r w:rsidRPr="00237F4E">
        <w:t>1.3. Märkused</w:t>
      </w:r>
    </w:p>
    <w:p w14:paraId="2C31A33B" w14:textId="77777777" w:rsidR="00653F95" w:rsidRDefault="00653F95" w:rsidP="00653F95">
      <w:pPr>
        <w:jc w:val="both"/>
      </w:pPr>
    </w:p>
    <w:p w14:paraId="074FE056" w14:textId="77777777" w:rsidR="00653F95" w:rsidRDefault="004D355C" w:rsidP="00653F95">
      <w:pPr>
        <w:autoSpaceDE/>
        <w:jc w:val="both"/>
      </w:pPr>
      <w:r>
        <w:t xml:space="preserve">Eelnõu on seotud Riigikogus menetluses oleva söödaseaduse muutmise seaduse eelnõuga </w:t>
      </w:r>
      <w:r w:rsidR="00CA49B2">
        <w:t>(</w:t>
      </w:r>
      <w:r>
        <w:t>499</w:t>
      </w:r>
      <w:r w:rsidR="00CA49B2">
        <w:t xml:space="preserve"> SE)</w:t>
      </w:r>
      <w:r w:rsidR="00A30FA9">
        <w:t>.</w:t>
      </w:r>
    </w:p>
    <w:p w14:paraId="1E5DF050" w14:textId="77777777" w:rsidR="00653F95" w:rsidRDefault="00653F95" w:rsidP="00653F95">
      <w:pPr>
        <w:autoSpaceDE/>
        <w:jc w:val="both"/>
      </w:pPr>
    </w:p>
    <w:p w14:paraId="14D8FD93" w14:textId="77777777" w:rsidR="00653F95" w:rsidRDefault="00653F95" w:rsidP="00653F95">
      <w:pPr>
        <w:autoSpaceDE/>
        <w:jc w:val="both"/>
      </w:pPr>
      <w:r>
        <w:t>Eelnõu on osaliselt seotud EL-i õiguse rakendamisega.</w:t>
      </w:r>
    </w:p>
    <w:p w14:paraId="6384BDB0" w14:textId="77777777" w:rsidR="00653F95" w:rsidRDefault="00653F95" w:rsidP="00653F95">
      <w:pPr>
        <w:autoSpaceDE/>
        <w:jc w:val="both"/>
        <w:rPr>
          <w:lang w:eastAsia="et-EE"/>
        </w:rPr>
      </w:pPr>
    </w:p>
    <w:p w14:paraId="766E03DB" w14:textId="77777777" w:rsidR="00653F95" w:rsidRDefault="00653F95" w:rsidP="00653F95">
      <w:pPr>
        <w:rPr>
          <w:b/>
        </w:rPr>
      </w:pPr>
      <w:r>
        <w:rPr>
          <w:b/>
        </w:rPr>
        <w:t>2. Eelnõu sisu ja võrdlev analüüs</w:t>
      </w:r>
    </w:p>
    <w:p w14:paraId="7596D4E7" w14:textId="77777777" w:rsidR="00653F95" w:rsidRDefault="00653F95" w:rsidP="00653F95">
      <w:pPr>
        <w:jc w:val="both"/>
      </w:pPr>
    </w:p>
    <w:p w14:paraId="367294EF" w14:textId="77777777" w:rsidR="00653F95" w:rsidRDefault="00653F95" w:rsidP="00653F95">
      <w:pPr>
        <w:jc w:val="both"/>
      </w:pPr>
      <w:r>
        <w:t>Eelnõu koosneb kahest paragrahvist, millest esimesega muudetakse põllumajandusministri määrust nr 31 ja teisega sätestatakse määruse jõustumisaeg.</w:t>
      </w:r>
    </w:p>
    <w:p w14:paraId="64C867C5" w14:textId="77777777" w:rsidR="00653F95" w:rsidRDefault="00653F95" w:rsidP="00653F95">
      <w:pPr>
        <w:jc w:val="both"/>
      </w:pPr>
    </w:p>
    <w:p w14:paraId="633D6257" w14:textId="6EAC8BCA" w:rsidR="00BD4C4C" w:rsidRDefault="008F6E19" w:rsidP="009D70DA">
      <w:pPr>
        <w:jc w:val="both"/>
        <w:rPr>
          <w:color w:val="202020"/>
          <w:lang w:eastAsia="et-EE"/>
        </w:rPr>
      </w:pPr>
      <w:r>
        <w:rPr>
          <w:b/>
          <w:bCs/>
        </w:rPr>
        <w:t xml:space="preserve">Eelnõu § 1 punkti </w:t>
      </w:r>
      <w:r w:rsidR="00BD4C4C">
        <w:rPr>
          <w:b/>
          <w:bCs/>
        </w:rPr>
        <w:t>1</w:t>
      </w:r>
      <w:r w:rsidR="00A735D5" w:rsidRPr="00E532EE">
        <w:rPr>
          <w:bCs/>
        </w:rPr>
        <w:t xml:space="preserve"> </w:t>
      </w:r>
      <w:r w:rsidR="00F208FB">
        <w:rPr>
          <w:bCs/>
        </w:rPr>
        <w:t xml:space="preserve">kohaselt </w:t>
      </w:r>
      <w:r w:rsidR="00F208FB">
        <w:rPr>
          <w:color w:val="202020"/>
          <w:lang w:eastAsia="et-EE"/>
        </w:rPr>
        <w:t>jäetakse</w:t>
      </w:r>
      <w:r w:rsidR="00F208FB" w:rsidRPr="00E532EE">
        <w:rPr>
          <w:color w:val="202020"/>
          <w:lang w:eastAsia="et-EE"/>
        </w:rPr>
        <w:t xml:space="preserve"> </w:t>
      </w:r>
      <w:r w:rsidR="00A735D5" w:rsidRPr="00E532EE">
        <w:rPr>
          <w:color w:val="202020"/>
          <w:lang w:eastAsia="et-EE"/>
        </w:rPr>
        <w:t>määruse</w:t>
      </w:r>
      <w:r w:rsidR="00BD4C4C" w:rsidRPr="00BD4C4C">
        <w:rPr>
          <w:bCs/>
        </w:rPr>
        <w:t xml:space="preserve"> </w:t>
      </w:r>
      <w:r w:rsidR="00BD4C4C">
        <w:rPr>
          <w:bCs/>
        </w:rPr>
        <w:t>pealkirjast,</w:t>
      </w:r>
      <w:r w:rsidR="00A735D5" w:rsidRPr="00E532EE">
        <w:rPr>
          <w:color w:val="202020"/>
          <w:lang w:eastAsia="et-EE"/>
        </w:rPr>
        <w:t xml:space="preserve"> § 1 lõikes</w:t>
      </w:r>
      <w:r w:rsidR="00A735D5">
        <w:rPr>
          <w:color w:val="202020"/>
          <w:lang w:eastAsia="et-EE"/>
        </w:rPr>
        <w:t>t</w:t>
      </w:r>
      <w:r w:rsidR="00A735D5" w:rsidRPr="00E532EE">
        <w:rPr>
          <w:color w:val="202020"/>
          <w:lang w:eastAsia="et-EE"/>
        </w:rPr>
        <w:t xml:space="preserve"> 1 ja lisa 1 pealkirjas</w:t>
      </w:r>
      <w:r w:rsidR="00A735D5">
        <w:rPr>
          <w:color w:val="202020"/>
          <w:lang w:eastAsia="et-EE"/>
        </w:rPr>
        <w:t>t välja sõnad</w:t>
      </w:r>
      <w:r w:rsidR="00A735D5" w:rsidRPr="00E532EE">
        <w:t xml:space="preserve"> „sööda</w:t>
      </w:r>
      <w:r w:rsidR="00126BC6">
        <w:t xml:space="preserve"> </w:t>
      </w:r>
      <w:r w:rsidR="00A735D5" w:rsidRPr="00E532EE">
        <w:t>käitleja</w:t>
      </w:r>
      <w:r w:rsidR="00A735D5">
        <w:t>”</w:t>
      </w:r>
      <w:r w:rsidR="00F208FB">
        <w:rPr>
          <w:color w:val="202020"/>
          <w:lang w:eastAsia="et-EE"/>
        </w:rPr>
        <w:t>.</w:t>
      </w:r>
    </w:p>
    <w:p w14:paraId="44F28769" w14:textId="77777777" w:rsidR="00BD4C4C" w:rsidRDefault="00BD4C4C" w:rsidP="009D70DA">
      <w:pPr>
        <w:jc w:val="both"/>
        <w:rPr>
          <w:color w:val="202020"/>
          <w:lang w:eastAsia="et-EE"/>
        </w:rPr>
      </w:pPr>
    </w:p>
    <w:p w14:paraId="27419EE3" w14:textId="6102256B" w:rsidR="00BD4C4C" w:rsidRDefault="00BD4C4C" w:rsidP="009D70DA">
      <w:pPr>
        <w:jc w:val="both"/>
        <w:rPr>
          <w:bCs/>
        </w:rPr>
      </w:pPr>
      <w:r>
        <w:rPr>
          <w:rFonts w:eastAsia="Calibri"/>
        </w:rPr>
        <w:t xml:space="preserve">Kavandatu kohaselt on </w:t>
      </w:r>
      <w:r>
        <w:t xml:space="preserve">põllumajandusministri määruse nr 31 </w:t>
      </w:r>
      <w:r>
        <w:rPr>
          <w:rFonts w:eastAsia="Calibri"/>
        </w:rPr>
        <w:t xml:space="preserve">uus pealkiri </w:t>
      </w:r>
      <w:r w:rsidRPr="00A735D5">
        <w:rPr>
          <w:bCs/>
        </w:rPr>
        <w:t>„Nende tegevusalade ja käitlemisel kasutatavate ainete täpsustatud loetelu, mille puhul peab esitama majandustegevusteate või mille puhul peab sööda käitlejal olema tegevusluba”</w:t>
      </w:r>
      <w:r>
        <w:rPr>
          <w:bCs/>
        </w:rPr>
        <w:t>.</w:t>
      </w:r>
      <w:r w:rsidRPr="00D203E7">
        <w:t xml:space="preserve"> </w:t>
      </w:r>
    </w:p>
    <w:p w14:paraId="1B7938D8" w14:textId="77777777" w:rsidR="00BD4C4C" w:rsidRDefault="00BD4C4C" w:rsidP="009D70DA">
      <w:pPr>
        <w:jc w:val="both"/>
        <w:rPr>
          <w:color w:val="202020"/>
          <w:lang w:eastAsia="et-EE"/>
        </w:rPr>
      </w:pPr>
    </w:p>
    <w:p w14:paraId="148669CC" w14:textId="2A6269D1" w:rsidR="002508E7" w:rsidRDefault="00BD4C4C" w:rsidP="009D70DA">
      <w:pPr>
        <w:jc w:val="both"/>
      </w:pPr>
      <w:r>
        <w:rPr>
          <w:color w:val="202020"/>
          <w:lang w:eastAsia="et-EE"/>
        </w:rPr>
        <w:t>Määruse § 1 l</w:t>
      </w:r>
      <w:r w:rsidR="009C0FED">
        <w:rPr>
          <w:color w:val="202020"/>
          <w:lang w:eastAsia="et-EE"/>
        </w:rPr>
        <w:t>õike 1 uue sõnastuse kohaselt</w:t>
      </w:r>
      <w:r w:rsidR="0064058A">
        <w:rPr>
          <w:color w:val="202020"/>
          <w:lang w:eastAsia="et-EE"/>
        </w:rPr>
        <w:t xml:space="preserve"> kehtestatakse </w:t>
      </w:r>
      <w:r w:rsidR="009279DE">
        <w:rPr>
          <w:color w:val="202020"/>
          <w:lang w:eastAsia="et-EE"/>
        </w:rPr>
        <w:t xml:space="preserve">määruse lisas 1 </w:t>
      </w:r>
      <w:r w:rsidR="0064058A">
        <w:rPr>
          <w:color w:val="202020"/>
          <w:lang w:eastAsia="et-EE"/>
        </w:rPr>
        <w:t>n</w:t>
      </w:r>
      <w:r w:rsidR="0064058A" w:rsidRPr="0064058A">
        <w:rPr>
          <w:color w:val="202020"/>
          <w:shd w:val="clear" w:color="auto" w:fill="FFFFFF"/>
        </w:rPr>
        <w:t>ende tegevusalade ja käitlemisel kasutatavate ainete täpsustatud loetelu, mille puhul peab esitama majandustegevustea</w:t>
      </w:r>
      <w:r w:rsidR="0064058A">
        <w:rPr>
          <w:color w:val="202020"/>
          <w:shd w:val="clear" w:color="auto" w:fill="FFFFFF"/>
        </w:rPr>
        <w:t>te</w:t>
      </w:r>
      <w:r w:rsidR="0064058A" w:rsidRPr="0064058A">
        <w:rPr>
          <w:color w:val="202020"/>
          <w:shd w:val="clear" w:color="auto" w:fill="FFFFFF"/>
        </w:rPr>
        <w:t>.</w:t>
      </w:r>
      <w:r w:rsidR="009D70DA">
        <w:rPr>
          <w:color w:val="202020"/>
          <w:shd w:val="clear" w:color="auto" w:fill="FFFFFF"/>
        </w:rPr>
        <w:t xml:space="preserve"> </w:t>
      </w:r>
      <w:r w:rsidR="000B56B7">
        <w:rPr>
          <w:color w:val="202020"/>
          <w:shd w:val="clear" w:color="auto" w:fill="FFFFFF"/>
        </w:rPr>
        <w:t>Määruse l</w:t>
      </w:r>
      <w:r w:rsidR="009D70DA">
        <w:t>isa 1 uu</w:t>
      </w:r>
      <w:r w:rsidR="00FF0B50">
        <w:t>s</w:t>
      </w:r>
      <w:r w:rsidR="009D70DA">
        <w:t xml:space="preserve"> pealkir</w:t>
      </w:r>
      <w:r w:rsidR="00FF0B50">
        <w:t>i</w:t>
      </w:r>
      <w:r w:rsidR="009D70DA">
        <w:t xml:space="preserve"> on ,,</w:t>
      </w:r>
      <w:r w:rsidR="009D70DA" w:rsidRPr="009D70DA">
        <w:t>Nende tegevusalade ja käitlemisel kasutatavate ainete loetelu, mille puhul peab esitama majandustegevusteate</w:t>
      </w:r>
      <w:r w:rsidR="009D70DA" w:rsidRPr="00A735D5">
        <w:rPr>
          <w:bCs/>
        </w:rPr>
        <w:t>”</w:t>
      </w:r>
      <w:r w:rsidR="009D70DA">
        <w:rPr>
          <w:bCs/>
        </w:rPr>
        <w:t>.</w:t>
      </w:r>
      <w:r w:rsidR="00D203E7" w:rsidRPr="00D203E7">
        <w:t xml:space="preserve"> </w:t>
      </w:r>
    </w:p>
    <w:p w14:paraId="03957AD9" w14:textId="77777777" w:rsidR="002508E7" w:rsidRDefault="002508E7" w:rsidP="009D70DA">
      <w:pPr>
        <w:jc w:val="both"/>
      </w:pPr>
    </w:p>
    <w:p w14:paraId="1896921A" w14:textId="1C8238A4" w:rsidR="009D70DA" w:rsidRPr="009D70DA" w:rsidRDefault="002508E7" w:rsidP="009D70DA">
      <w:pPr>
        <w:jc w:val="both"/>
        <w:rPr>
          <w:lang w:eastAsia="zh-CN"/>
        </w:rPr>
      </w:pPr>
      <w:r>
        <w:t xml:space="preserve">Kavandatavad </w:t>
      </w:r>
      <w:r>
        <w:rPr>
          <w:bCs/>
        </w:rPr>
        <w:t>m</w:t>
      </w:r>
      <w:r w:rsidR="00D203E7" w:rsidRPr="00D203E7">
        <w:rPr>
          <w:bCs/>
        </w:rPr>
        <w:t>uudatus</w:t>
      </w:r>
      <w:r w:rsidR="00D203E7">
        <w:rPr>
          <w:bCs/>
        </w:rPr>
        <w:t>ed</w:t>
      </w:r>
      <w:r w:rsidR="00D203E7" w:rsidRPr="00D203E7">
        <w:rPr>
          <w:bCs/>
        </w:rPr>
        <w:t xml:space="preserve"> on seotud söödaseaduse muutmise seaduse eelnõu (499 SE) punktiga 7, millega muudetakse söödaseaduse § 18 lõikes 2 esitatud volitusnormi sisu</w:t>
      </w:r>
      <w:r w:rsidR="00FF0B50">
        <w:rPr>
          <w:bCs/>
        </w:rPr>
        <w:t>,</w:t>
      </w:r>
      <w:r w:rsidR="00D203E7" w:rsidRPr="00D203E7">
        <w:rPr>
          <w:bCs/>
        </w:rPr>
        <w:t xml:space="preserve"> jättes välja sõnad „sööda käitleja”.</w:t>
      </w:r>
      <w:r w:rsidR="00D203E7">
        <w:rPr>
          <w:bCs/>
        </w:rPr>
        <w:t xml:space="preserve"> </w:t>
      </w:r>
      <w:r w:rsidR="00D203E7" w:rsidRPr="00D203E7">
        <w:rPr>
          <w:bCs/>
        </w:rPr>
        <w:t>Nimetatud muudatus tehakse selguse huvides, sest termin „sööda käitleja” ei hõlma isikuid, kelle ettevõttes tegeletakse üksnes loomade söötmisega.</w:t>
      </w:r>
    </w:p>
    <w:p w14:paraId="636FBCEB" w14:textId="77777777" w:rsidR="00A735D5" w:rsidRDefault="00A735D5" w:rsidP="00653F95">
      <w:pPr>
        <w:jc w:val="both"/>
        <w:rPr>
          <w:bCs/>
        </w:rPr>
      </w:pPr>
    </w:p>
    <w:p w14:paraId="50AF7C88" w14:textId="4AC3AA84" w:rsidR="008B0B01" w:rsidRDefault="008F6E19" w:rsidP="00653F95">
      <w:pPr>
        <w:jc w:val="both"/>
      </w:pPr>
      <w:r>
        <w:rPr>
          <w:b/>
          <w:bCs/>
        </w:rPr>
        <w:t xml:space="preserve">Eelnõu § 1 punkti </w:t>
      </w:r>
      <w:r w:rsidR="002508E7">
        <w:rPr>
          <w:b/>
          <w:bCs/>
        </w:rPr>
        <w:t>2</w:t>
      </w:r>
      <w:r>
        <w:rPr>
          <w:bCs/>
        </w:rPr>
        <w:t xml:space="preserve"> </w:t>
      </w:r>
      <w:r w:rsidR="00653F95">
        <w:rPr>
          <w:bCs/>
        </w:rPr>
        <w:t xml:space="preserve">kohaselt </w:t>
      </w:r>
      <w:r w:rsidR="00653F95">
        <w:t xml:space="preserve">kehtestatakse uues sõnastuses määruse lisa 1 „Nende tegevusalade ja käitlemisel kasutatavate ainete loetelu, mille puhul peab </w:t>
      </w:r>
      <w:r w:rsidR="00037B1E">
        <w:t xml:space="preserve">sööda käitleja </w:t>
      </w:r>
      <w:r w:rsidR="00653F95">
        <w:t>esitama majandustegevusteate</w:t>
      </w:r>
      <w:r w:rsidR="00653F95">
        <w:rPr>
          <w:bCs/>
        </w:rPr>
        <w:t>”</w:t>
      </w:r>
      <w:r w:rsidR="008B0B01">
        <w:t xml:space="preserve"> ning lisa 2 </w:t>
      </w:r>
      <w:r w:rsidR="00F90077">
        <w:rPr>
          <w:bCs/>
        </w:rPr>
        <w:t>„</w:t>
      </w:r>
      <w:r w:rsidR="00F90077">
        <w:t>Nende tegevusalade ja käitlemisel kasutatavate ainete täpsustatud loetelu, mille puhul peab sööda käitleja esitama majandustegevusteate või mille puhul peab sööda käitlejal olema tegevusluba”.</w:t>
      </w:r>
    </w:p>
    <w:p w14:paraId="77493C3A" w14:textId="77777777" w:rsidR="008B0B01" w:rsidRDefault="008B0B01" w:rsidP="00653F95">
      <w:pPr>
        <w:jc w:val="both"/>
      </w:pPr>
    </w:p>
    <w:p w14:paraId="4F988092" w14:textId="77777777" w:rsidR="00F52A8C" w:rsidRDefault="00425D71" w:rsidP="00653F95">
      <w:pPr>
        <w:jc w:val="both"/>
      </w:pPr>
      <w:r>
        <w:rPr>
          <w:b/>
        </w:rPr>
        <w:t>1.</w:t>
      </w:r>
      <w:r>
        <w:t xml:space="preserve"> </w:t>
      </w:r>
      <w:r w:rsidR="00F52A8C">
        <w:t>P</w:t>
      </w:r>
      <w:r w:rsidR="00B831FD">
        <w:t>õllumajandusministri määruse</w:t>
      </w:r>
      <w:r w:rsidR="00F52A8C">
        <w:t xml:space="preserve"> nr 31 l</w:t>
      </w:r>
      <w:r w:rsidR="00653F95">
        <w:t xml:space="preserve">isa </w:t>
      </w:r>
      <w:r w:rsidR="006F4954">
        <w:t>1</w:t>
      </w:r>
      <w:r w:rsidR="00F52A8C">
        <w:t xml:space="preserve"> tabeli</w:t>
      </w:r>
      <w:r w:rsidR="00B831FD">
        <w:t>s tehakse järgmised täpsustused:</w:t>
      </w:r>
    </w:p>
    <w:p w14:paraId="2889327D" w14:textId="77777777" w:rsidR="00EE5CF7" w:rsidRDefault="00F52A8C" w:rsidP="00653F95">
      <w:pPr>
        <w:jc w:val="both"/>
      </w:pPr>
      <w:r w:rsidRPr="00425D71">
        <w:rPr>
          <w:b/>
        </w:rPr>
        <w:t>1.</w:t>
      </w:r>
      <w:r w:rsidR="00425D71">
        <w:rPr>
          <w:b/>
        </w:rPr>
        <w:t>1.</w:t>
      </w:r>
      <w:r>
        <w:t xml:space="preserve"> </w:t>
      </w:r>
      <w:r w:rsidR="00B831FD">
        <w:t>T</w:t>
      </w:r>
      <w:r w:rsidR="00653F95">
        <w:t>abeli osa</w:t>
      </w:r>
      <w:r w:rsidR="00EA403A">
        <w:t>s</w:t>
      </w:r>
      <w:r w:rsidR="00653F95">
        <w:t xml:space="preserve"> 1 „Tegevusala, millega tegelemise korral täidetakse Euroopa Parlamendi ja nõukogu määruse (EÜ) nr 183/2005 I lisa nõudeid</w:t>
      </w:r>
      <w:r w:rsidR="00653F95" w:rsidRPr="00F96805">
        <w:t>”</w:t>
      </w:r>
      <w:r w:rsidR="00B831FD">
        <w:t xml:space="preserve"> täpsustatakse tegevusalasid, mis on seotud sööda esmatootmisega</w:t>
      </w:r>
      <w:r w:rsidR="00F96805" w:rsidRPr="00F96805">
        <w:t xml:space="preserve">. </w:t>
      </w:r>
    </w:p>
    <w:p w14:paraId="3262A9E5" w14:textId="77777777" w:rsidR="007142CF" w:rsidRDefault="007142CF" w:rsidP="00653F95">
      <w:pPr>
        <w:jc w:val="both"/>
      </w:pPr>
    </w:p>
    <w:p w14:paraId="0E1C90C8" w14:textId="3831872D" w:rsidR="007D122D" w:rsidRDefault="000F155A" w:rsidP="00653F95">
      <w:pPr>
        <w:jc w:val="both"/>
      </w:pPr>
      <w:r>
        <w:rPr>
          <w:b/>
          <w:shd w:val="clear" w:color="auto" w:fill="FFFFFF"/>
        </w:rPr>
        <w:t>T</w:t>
      </w:r>
      <w:r w:rsidRPr="007948DD">
        <w:rPr>
          <w:b/>
          <w:shd w:val="clear" w:color="auto" w:fill="FFFFFF"/>
        </w:rPr>
        <w:t>abeli osas 1 täpsusta</w:t>
      </w:r>
      <w:r>
        <w:rPr>
          <w:b/>
          <w:shd w:val="clear" w:color="auto" w:fill="FFFFFF"/>
        </w:rPr>
        <w:t xml:space="preserve">takse </w:t>
      </w:r>
      <w:r w:rsidRPr="0093528B">
        <w:rPr>
          <w:b/>
          <w:shd w:val="clear" w:color="auto" w:fill="FFFFFF"/>
        </w:rPr>
        <w:t>teatavate</w:t>
      </w:r>
      <w:r>
        <w:rPr>
          <w:b/>
          <w:shd w:val="clear" w:color="auto" w:fill="FFFFFF"/>
        </w:rPr>
        <w:t xml:space="preserve"> </w:t>
      </w:r>
      <w:r w:rsidRPr="007948DD">
        <w:rPr>
          <w:b/>
          <w:shd w:val="clear" w:color="auto" w:fill="FFFFFF"/>
        </w:rPr>
        <w:t>tegevusalade nimetusi</w:t>
      </w:r>
      <w:r>
        <w:rPr>
          <w:shd w:val="clear" w:color="auto" w:fill="FFFFFF"/>
        </w:rPr>
        <w:t>, näiteks</w:t>
      </w:r>
      <w:r w:rsidR="00574ABC">
        <w:rPr>
          <w:shd w:val="clear" w:color="auto" w:fill="FFFFFF"/>
        </w:rPr>
        <w:t xml:space="preserve"> </w:t>
      </w:r>
      <w:r w:rsidR="00A45674">
        <w:rPr>
          <w:shd w:val="clear" w:color="auto" w:fill="FFFFFF"/>
        </w:rPr>
        <w:t xml:space="preserve">on täpsustatud </w:t>
      </w:r>
      <w:r w:rsidR="00A45674">
        <w:t xml:space="preserve">lisa 1 tabeli reas 1.3. (enne 1.4.) sätestatud tegevusala nimetust </w:t>
      </w:r>
      <w:r w:rsidR="00574ABC">
        <w:rPr>
          <w:shd w:val="clear" w:color="auto" w:fill="FFFFFF"/>
        </w:rPr>
        <w:t>järgneva</w:t>
      </w:r>
      <w:r w:rsidR="00A45674">
        <w:rPr>
          <w:shd w:val="clear" w:color="auto" w:fill="FFFFFF"/>
        </w:rPr>
        <w:t>l</w:t>
      </w:r>
      <w:r w:rsidR="00574ABC">
        <w:rPr>
          <w:shd w:val="clear" w:color="auto" w:fill="FFFFFF"/>
        </w:rPr>
        <w:t>t</w:t>
      </w:r>
      <w:r w:rsidR="00395C46">
        <w:rPr>
          <w:shd w:val="clear" w:color="auto" w:fill="FFFFFF"/>
        </w:rPr>
        <w:t>:</w:t>
      </w:r>
      <w:r>
        <w:rPr>
          <w:shd w:val="clear" w:color="auto" w:fill="FFFFFF"/>
        </w:rPr>
        <w:t xml:space="preserve"> </w:t>
      </w:r>
      <w:r>
        <w:t xml:space="preserve">sööda segamine oma ettevõtte tarbeks, kasutamata lubatud loomset proteiini, veterinaarravimit, ravimsööda vahetoodet, söödalisandeid või </w:t>
      </w:r>
      <w:r w:rsidR="005035FD">
        <w:t>söödalisandite</w:t>
      </w:r>
      <w:r>
        <w:t xml:space="preserve"> eelsegusid. </w:t>
      </w:r>
      <w:r w:rsidR="00FD0A7D">
        <w:t>V</w:t>
      </w:r>
      <w:r w:rsidR="00CE1824">
        <w:t>õrreldes kehtiva sättega on tegevusala nimetusse lisatud v</w:t>
      </w:r>
      <w:r w:rsidR="00FD0A7D">
        <w:t>eterinaarravim ja r</w:t>
      </w:r>
      <w:r w:rsidR="00CF12D5" w:rsidRPr="00CF12D5">
        <w:t>avimsööda</w:t>
      </w:r>
      <w:r w:rsidR="00FD0A7D">
        <w:t xml:space="preserve"> vahetoo</w:t>
      </w:r>
      <w:r w:rsidR="00CE1824">
        <w:t>d</w:t>
      </w:r>
      <w:r w:rsidR="00FD0A7D">
        <w:t>e</w:t>
      </w:r>
      <w:r w:rsidR="00CE1824">
        <w:t>, sest nende</w:t>
      </w:r>
      <w:r w:rsidR="00FD0A7D">
        <w:t xml:space="preserve"> kasutamist sööda segamisel oma ettevõtte tarbeks</w:t>
      </w:r>
      <w:r w:rsidR="00CF12D5" w:rsidRPr="00CF12D5">
        <w:t xml:space="preserve"> </w:t>
      </w:r>
      <w:r w:rsidR="00FD0A7D">
        <w:t>ning sellise sööda</w:t>
      </w:r>
      <w:r w:rsidR="00CF12D5" w:rsidRPr="00CF12D5">
        <w:t xml:space="preserve"> ladustamist ja vedu </w:t>
      </w:r>
      <w:r w:rsidR="00064294" w:rsidRPr="00CF12D5">
        <w:rPr>
          <w:shd w:val="clear" w:color="auto" w:fill="FFFFFF"/>
        </w:rPr>
        <w:t xml:space="preserve">ei saa </w:t>
      </w:r>
      <w:r w:rsidR="00403597">
        <w:rPr>
          <w:shd w:val="clear" w:color="auto" w:fill="FFFFFF"/>
        </w:rPr>
        <w:t>käsitada esmatootmise tasandil tehtavate tavapäraste toimingutena ega ka esmatootmisega seotud toimingutena, mistõttu tuleb</w:t>
      </w:r>
      <w:r w:rsidR="0097626E">
        <w:rPr>
          <w:shd w:val="clear" w:color="auto" w:fill="FFFFFF"/>
        </w:rPr>
        <w:t xml:space="preserve"> </w:t>
      </w:r>
      <w:r w:rsidR="00403597">
        <w:rPr>
          <w:shd w:val="clear" w:color="auto" w:fill="FFFFFF"/>
        </w:rPr>
        <w:t>n</w:t>
      </w:r>
      <w:r w:rsidR="000B56B7">
        <w:rPr>
          <w:shd w:val="clear" w:color="auto" w:fill="FFFFFF"/>
        </w:rPr>
        <w:t>imetatud</w:t>
      </w:r>
      <w:r w:rsidR="00CF12D5">
        <w:rPr>
          <w:shd w:val="clear" w:color="auto" w:fill="FFFFFF"/>
        </w:rPr>
        <w:t xml:space="preserve"> tegevus</w:t>
      </w:r>
      <w:r w:rsidR="000B56B7">
        <w:rPr>
          <w:shd w:val="clear" w:color="auto" w:fill="FFFFFF"/>
        </w:rPr>
        <w:t>t</w:t>
      </w:r>
      <w:r w:rsidR="00CF12D5">
        <w:rPr>
          <w:shd w:val="clear" w:color="auto" w:fill="FFFFFF"/>
        </w:rPr>
        <w:t xml:space="preserve">ega tegelemise korral järgida </w:t>
      </w:r>
      <w:r w:rsidR="00064294" w:rsidRPr="00CF12D5">
        <w:t>määruse (EÜ) nr 183/2005</w:t>
      </w:r>
      <w:r w:rsidR="00064294" w:rsidRPr="00CF12D5">
        <w:rPr>
          <w:rStyle w:val="FootnoteReference"/>
        </w:rPr>
        <w:footnoteReference w:id="3"/>
      </w:r>
      <w:r w:rsidR="00064294" w:rsidRPr="00CF12D5">
        <w:t xml:space="preserve"> II lisa. </w:t>
      </w:r>
    </w:p>
    <w:p w14:paraId="78EB1348" w14:textId="77777777" w:rsidR="007D122D" w:rsidRDefault="007D122D" w:rsidP="00653F95">
      <w:pPr>
        <w:jc w:val="both"/>
      </w:pPr>
    </w:p>
    <w:p w14:paraId="6D4FAE0F" w14:textId="77777777" w:rsidR="00D07466" w:rsidRPr="00CF12D5" w:rsidRDefault="008F02E3" w:rsidP="00653F95">
      <w:pPr>
        <w:jc w:val="both"/>
      </w:pPr>
      <w:r w:rsidRPr="00CF12D5">
        <w:t xml:space="preserve">Kavandatav muudatus on </w:t>
      </w:r>
      <w:r w:rsidR="00E214D8">
        <w:t xml:space="preserve">pigem tehnilist laadi ja </w:t>
      </w:r>
      <w:r w:rsidR="00EB3053">
        <w:t xml:space="preserve">on </w:t>
      </w:r>
      <w:r w:rsidRPr="00CF12D5">
        <w:t>seotud määruse (EL) 2019/4 artikli</w:t>
      </w:r>
      <w:r w:rsidR="00EA403A" w:rsidRPr="00CF12D5">
        <w:t>ga 23</w:t>
      </w:r>
      <w:r w:rsidRPr="00CF12D5">
        <w:t xml:space="preserve">, millega muudetakse määruse (EÜ) nr 183/2005 </w:t>
      </w:r>
      <w:r w:rsidR="00EA403A" w:rsidRPr="00CF12D5">
        <w:t xml:space="preserve">artiklit 5. </w:t>
      </w:r>
    </w:p>
    <w:p w14:paraId="24D56DDC" w14:textId="77777777" w:rsidR="00D07466" w:rsidRPr="00EB4F21" w:rsidRDefault="00D07466" w:rsidP="00653F95">
      <w:pPr>
        <w:jc w:val="both"/>
      </w:pPr>
    </w:p>
    <w:p w14:paraId="2AE466DE" w14:textId="77777777" w:rsidR="000C6F58" w:rsidRDefault="00F52A8C" w:rsidP="000C6F58">
      <w:pPr>
        <w:jc w:val="both"/>
      </w:pPr>
      <w:r>
        <w:t xml:space="preserve">Samuti </w:t>
      </w:r>
      <w:r w:rsidRPr="007948DD">
        <w:rPr>
          <w:b/>
        </w:rPr>
        <w:t xml:space="preserve">täpsustatakse </w:t>
      </w:r>
      <w:r w:rsidR="00A54D9F" w:rsidRPr="007948DD">
        <w:rPr>
          <w:b/>
        </w:rPr>
        <w:t xml:space="preserve">tabeli osas 1 </w:t>
      </w:r>
      <w:r w:rsidRPr="007948DD">
        <w:rPr>
          <w:b/>
        </w:rPr>
        <w:t>s</w:t>
      </w:r>
      <w:r w:rsidR="00C26B07" w:rsidRPr="007948DD">
        <w:rPr>
          <w:b/>
        </w:rPr>
        <w:t xml:space="preserve">ööda ladustamisega seotud </w:t>
      </w:r>
      <w:r w:rsidR="00A54D9F" w:rsidRPr="007948DD">
        <w:rPr>
          <w:b/>
        </w:rPr>
        <w:t>tegevusala</w:t>
      </w:r>
      <w:r w:rsidR="00C26B07" w:rsidRPr="007948DD">
        <w:rPr>
          <w:b/>
        </w:rPr>
        <w:t xml:space="preserve"> nimetust</w:t>
      </w:r>
      <w:r w:rsidR="00C26B07">
        <w:t>. Kui kehtivas määruses oli</w:t>
      </w:r>
      <w:r w:rsidR="00A54D9F">
        <w:t xml:space="preserve"> tegevusalana sätestat</w:t>
      </w:r>
      <w:r w:rsidR="00C26B07">
        <w:t>ud</w:t>
      </w:r>
      <w:r w:rsidR="00A54D9F">
        <w:t xml:space="preserve"> </w:t>
      </w:r>
      <w:r w:rsidR="0067525C">
        <w:t xml:space="preserve">üksnes </w:t>
      </w:r>
      <w:r w:rsidR="00A54D9F">
        <w:t>taimse söödamaterjali ladustamine oma ettevõtte tarbeks</w:t>
      </w:r>
      <w:r w:rsidR="00C26B07">
        <w:t xml:space="preserve">, siis sätte uue sõnastuse kohaselt hõlmab tegevus ka </w:t>
      </w:r>
      <w:r w:rsidR="00772263">
        <w:t xml:space="preserve">põllumajandusettevõttes </w:t>
      </w:r>
      <w:r w:rsidR="00791C21">
        <w:t xml:space="preserve">segatud teatava </w:t>
      </w:r>
      <w:r w:rsidR="00772263">
        <w:t>segasöö</w:t>
      </w:r>
      <w:r w:rsidR="000F155A">
        <w:t>d</w:t>
      </w:r>
      <w:r w:rsidR="00C26B07">
        <w:t>a</w:t>
      </w:r>
      <w:r w:rsidR="008D49D9">
        <w:t xml:space="preserve"> </w:t>
      </w:r>
      <w:r w:rsidR="00772263">
        <w:t>ladustamist</w:t>
      </w:r>
      <w:r w:rsidR="00A54D9F">
        <w:t xml:space="preserve">. </w:t>
      </w:r>
      <w:r w:rsidR="00791C21">
        <w:t>Sellis</w:t>
      </w:r>
      <w:r w:rsidR="003F04F8">
        <w:t>t</w:t>
      </w:r>
      <w:r w:rsidR="00791C21">
        <w:t>e s</w:t>
      </w:r>
      <w:r w:rsidR="003F04F8">
        <w:t>ööt</w:t>
      </w:r>
      <w:r w:rsidR="00791C21">
        <w:t>a</w:t>
      </w:r>
      <w:r w:rsidR="003F04F8">
        <w:t>de</w:t>
      </w:r>
      <w:r w:rsidR="00791C21">
        <w:t xml:space="preserve"> ladustamise puhul on tegemist </w:t>
      </w:r>
      <w:r w:rsidR="00791C21">
        <w:rPr>
          <w:shd w:val="clear" w:color="auto" w:fill="FFFFFF"/>
        </w:rPr>
        <w:t>esmatootmisega seotud toimingu</w:t>
      </w:r>
      <w:r w:rsidR="00CE2E2C">
        <w:rPr>
          <w:shd w:val="clear" w:color="auto" w:fill="FFFFFF"/>
        </w:rPr>
        <w:t>g</w:t>
      </w:r>
      <w:r w:rsidR="00791C21">
        <w:rPr>
          <w:shd w:val="clear" w:color="auto" w:fill="FFFFFF"/>
        </w:rPr>
        <w:t>a</w:t>
      </w:r>
      <w:r w:rsidR="00791C21">
        <w:t xml:space="preserve"> </w:t>
      </w:r>
      <w:r w:rsidR="00CE2E2C">
        <w:t>ja vastavalt m</w:t>
      </w:r>
      <w:r w:rsidR="00A54D9F">
        <w:t xml:space="preserve">ääruse </w:t>
      </w:r>
      <w:r w:rsidR="00AC09B5">
        <w:t xml:space="preserve">(EÜ) </w:t>
      </w:r>
      <w:r w:rsidR="000C6F58">
        <w:t xml:space="preserve">nr </w:t>
      </w:r>
      <w:r w:rsidR="00AC09B5">
        <w:t xml:space="preserve">183/2005 </w:t>
      </w:r>
      <w:r w:rsidR="00A54D9F">
        <w:t>I lisas sätestatu</w:t>
      </w:r>
      <w:r w:rsidR="00CE2E2C">
        <w:t>le</w:t>
      </w:r>
      <w:r w:rsidR="00A54D9F">
        <w:t xml:space="preserve"> peab söödakäitleja tagama, et tema vastutusel ladustatud esmatooted on kaitstud saastumise ja riknemise eest. Praktikas on ilmnenud, et loomade söötmiseks kasutatavat sööta võidakse ladustada loomade söötmiskohast väga kaugel ning sageli puudub järelevalveasutusel teave sööda ladustamise asukoha ja tingimuste kohta. </w:t>
      </w:r>
      <w:r w:rsidR="000C6F58">
        <w:t xml:space="preserve">Samas on PTA-l </w:t>
      </w:r>
      <w:r w:rsidR="0079578E">
        <w:t>õigus</w:t>
      </w:r>
      <w:r w:rsidR="000C6F58">
        <w:t xml:space="preserve"> teada kõikidest tegevusaladest, millega ettevõttes tegeletakse, ning tegevuskohtadest, kus neid tegevusi ellu viiakse. </w:t>
      </w:r>
    </w:p>
    <w:p w14:paraId="174B133D" w14:textId="77777777" w:rsidR="000C6F58" w:rsidRDefault="000C6F58" w:rsidP="00653F95">
      <w:pPr>
        <w:jc w:val="both"/>
      </w:pPr>
    </w:p>
    <w:p w14:paraId="362DD4AA" w14:textId="77777777" w:rsidR="00B427E4" w:rsidRDefault="00425D71" w:rsidP="00653F95">
      <w:pPr>
        <w:jc w:val="both"/>
      </w:pPr>
      <w:r>
        <w:rPr>
          <w:b/>
        </w:rPr>
        <w:t>1.</w:t>
      </w:r>
      <w:r w:rsidR="00200CD7" w:rsidRPr="00425D71">
        <w:rPr>
          <w:b/>
        </w:rPr>
        <w:t>2.</w:t>
      </w:r>
      <w:r w:rsidR="00200CD7">
        <w:t xml:space="preserve"> Tabeli </w:t>
      </w:r>
      <w:r w:rsidR="00200CD7" w:rsidRPr="00A04B68">
        <w:t>osas</w:t>
      </w:r>
      <w:r w:rsidR="00653F95" w:rsidRPr="00A04B68">
        <w:t xml:space="preserve"> 2 „Tegevusala, millega tegelemise korral täidetakse Euroopa Parlamendi ja nõukogu määruse (EÜ) nr 183/2005 II lisa nõudeid</w:t>
      </w:r>
      <w:r w:rsidR="00653F95" w:rsidRPr="00A04B68">
        <w:rPr>
          <w:bCs/>
        </w:rPr>
        <w:t>”</w:t>
      </w:r>
      <w:r w:rsidR="00653F95" w:rsidRPr="00A04B68">
        <w:t xml:space="preserve"> </w:t>
      </w:r>
      <w:r w:rsidR="00200CD7" w:rsidRPr="00A04B68">
        <w:t>täpsustatakse tegevusalasid</w:t>
      </w:r>
      <w:r w:rsidR="00200CD7">
        <w:t xml:space="preserve">, mis on seotud </w:t>
      </w:r>
      <w:r w:rsidR="00B427E4">
        <w:t xml:space="preserve">erinevate söödaliikide tootmise, turuleviimise, ladustamise ja veoga. </w:t>
      </w:r>
    </w:p>
    <w:p w14:paraId="17445EDE" w14:textId="77777777" w:rsidR="00C45CD6" w:rsidRDefault="00C45CD6" w:rsidP="00180FBC">
      <w:pPr>
        <w:pStyle w:val="CommentText"/>
        <w:jc w:val="both"/>
        <w:rPr>
          <w:sz w:val="24"/>
          <w:szCs w:val="24"/>
        </w:rPr>
      </w:pPr>
    </w:p>
    <w:p w14:paraId="34F82DB6" w14:textId="77777777" w:rsidR="00D12E0E" w:rsidRDefault="00C45CD6" w:rsidP="00180FBC">
      <w:pPr>
        <w:pStyle w:val="CommentText"/>
        <w:jc w:val="both"/>
        <w:rPr>
          <w:sz w:val="24"/>
          <w:szCs w:val="24"/>
        </w:rPr>
      </w:pPr>
      <w:r w:rsidRPr="00195B55">
        <w:rPr>
          <w:b/>
          <w:sz w:val="24"/>
          <w:szCs w:val="24"/>
        </w:rPr>
        <w:t>1.2.1</w:t>
      </w:r>
      <w:r w:rsidR="00195B55">
        <w:rPr>
          <w:b/>
          <w:sz w:val="24"/>
          <w:szCs w:val="24"/>
        </w:rPr>
        <w:t>.</w:t>
      </w:r>
      <w:r w:rsidR="00195B55" w:rsidRPr="00195B55">
        <w:t xml:space="preserve"> </w:t>
      </w:r>
      <w:r w:rsidR="00195B55" w:rsidRPr="00195B55">
        <w:rPr>
          <w:sz w:val="24"/>
          <w:szCs w:val="24"/>
        </w:rPr>
        <w:t>Tabeli osas</w:t>
      </w:r>
      <w:r w:rsidR="00195B55">
        <w:rPr>
          <w:sz w:val="24"/>
          <w:szCs w:val="24"/>
        </w:rPr>
        <w:t>se</w:t>
      </w:r>
      <w:r w:rsidR="00195B55" w:rsidRPr="00195B55">
        <w:rPr>
          <w:sz w:val="24"/>
          <w:szCs w:val="24"/>
        </w:rPr>
        <w:t xml:space="preserve"> 2 </w:t>
      </w:r>
      <w:r w:rsidR="00195B55">
        <w:rPr>
          <w:sz w:val="24"/>
          <w:szCs w:val="24"/>
        </w:rPr>
        <w:t>lisatakse</w:t>
      </w:r>
      <w:r w:rsidR="00195B55" w:rsidRPr="00195B55">
        <w:rPr>
          <w:sz w:val="24"/>
          <w:szCs w:val="24"/>
        </w:rPr>
        <w:t xml:space="preserve"> uued tegevusalad, millega tegelemise korral peab sööda käitleja esitama PTA-le majandustegevusteate.</w:t>
      </w:r>
    </w:p>
    <w:p w14:paraId="2FFE6866" w14:textId="77777777" w:rsidR="00195B55" w:rsidRPr="00195B55" w:rsidRDefault="00195B55" w:rsidP="00180FBC">
      <w:pPr>
        <w:pStyle w:val="CommentText"/>
        <w:jc w:val="both"/>
        <w:rPr>
          <w:sz w:val="24"/>
          <w:szCs w:val="24"/>
        </w:rPr>
      </w:pPr>
    </w:p>
    <w:p w14:paraId="4DF7DD42" w14:textId="54D4C293" w:rsidR="005B653D" w:rsidRDefault="00B427E4" w:rsidP="005B653D">
      <w:pPr>
        <w:jc w:val="both"/>
        <w:rPr>
          <w:lang w:eastAsia="et-EE"/>
        </w:rPr>
      </w:pPr>
      <w:r>
        <w:t>Uu</w:t>
      </w:r>
      <w:r w:rsidR="00974868">
        <w:t>ed</w:t>
      </w:r>
      <w:r>
        <w:t xml:space="preserve"> </w:t>
      </w:r>
      <w:r w:rsidR="002218A9">
        <w:t>tegevusalad on</w:t>
      </w:r>
      <w:r>
        <w:t xml:space="preserve"> </w:t>
      </w:r>
      <w:r w:rsidRPr="007948DD">
        <w:rPr>
          <w:b/>
        </w:rPr>
        <w:t xml:space="preserve">ravimsööda või vahetoote </w:t>
      </w:r>
      <w:r w:rsidR="00C36317" w:rsidRPr="007948DD">
        <w:rPr>
          <w:b/>
        </w:rPr>
        <w:t>turuleviimine</w:t>
      </w:r>
      <w:r w:rsidR="005035FD">
        <w:rPr>
          <w:b/>
        </w:rPr>
        <w:t>,</w:t>
      </w:r>
      <w:r w:rsidR="009D4EAC">
        <w:rPr>
          <w:b/>
        </w:rPr>
        <w:t xml:space="preserve"> </w:t>
      </w:r>
      <w:r w:rsidR="00C36317" w:rsidRPr="007948DD">
        <w:rPr>
          <w:b/>
        </w:rPr>
        <w:t xml:space="preserve">sealhulgas </w:t>
      </w:r>
      <w:r w:rsidR="005035FD">
        <w:rPr>
          <w:b/>
        </w:rPr>
        <w:t>nende toodete turuleviimine, neid ladustamata</w:t>
      </w:r>
      <w:r w:rsidR="009A2E1E">
        <w:rPr>
          <w:b/>
        </w:rPr>
        <w:t xml:space="preserve">, </w:t>
      </w:r>
      <w:r w:rsidR="00C36317" w:rsidRPr="007948DD">
        <w:rPr>
          <w:b/>
        </w:rPr>
        <w:t>liiduvälisest riigist Eestisse toimetamine</w:t>
      </w:r>
      <w:r w:rsidR="00046B01">
        <w:rPr>
          <w:b/>
        </w:rPr>
        <w:t>,</w:t>
      </w:r>
      <w:r w:rsidR="00C36317" w:rsidRPr="007948DD">
        <w:rPr>
          <w:b/>
        </w:rPr>
        <w:t xml:space="preserve"> ja eksport</w:t>
      </w:r>
      <w:r w:rsidR="00B22EFA" w:rsidRPr="00B22EFA">
        <w:t xml:space="preserve"> </w:t>
      </w:r>
      <w:r w:rsidR="002218A9" w:rsidRPr="00512137">
        <w:t>ning</w:t>
      </w:r>
      <w:r w:rsidR="00C36317">
        <w:t xml:space="preserve"> </w:t>
      </w:r>
      <w:r w:rsidR="00C36317" w:rsidRPr="008413D9">
        <w:rPr>
          <w:b/>
        </w:rPr>
        <w:t>ravimsööda või vahetoote ladustamine või vedu</w:t>
      </w:r>
      <w:r w:rsidR="00C36317">
        <w:t xml:space="preserve">. </w:t>
      </w:r>
      <w:r w:rsidR="00143B1B">
        <w:t>Üldjuhul</w:t>
      </w:r>
      <w:r w:rsidR="00DC0924">
        <w:t xml:space="preserve"> peab sööda käitlejal olema tegevusluba, kui tema ettevõttes tegeletakse ravimsööda või vahetoodete tootmise, ladustamise, veo või turuleviimisega. </w:t>
      </w:r>
      <w:r w:rsidR="005B653D">
        <w:t xml:space="preserve">Erandina ei pea tegevusluba olema sööda käitlejal, </w:t>
      </w:r>
      <w:r w:rsidR="00DC0924">
        <w:t>kes teeb</w:t>
      </w:r>
      <w:r w:rsidR="00A070C9">
        <w:t xml:space="preserve"> mõningaid </w:t>
      </w:r>
      <w:r w:rsidR="00BC41D8">
        <w:t>väik</w:t>
      </w:r>
      <w:r w:rsidR="0002333F">
        <w:t>e</w:t>
      </w:r>
      <w:r w:rsidR="00BC41D8">
        <w:t xml:space="preserve">se </w:t>
      </w:r>
      <w:r w:rsidR="00A070C9">
        <w:t>riskiga toiminguid, nagu</w:t>
      </w:r>
      <w:r w:rsidR="005B653D">
        <w:t xml:space="preserve"> näiteks </w:t>
      </w:r>
      <w:r w:rsidR="00D6511B">
        <w:t>vahendab</w:t>
      </w:r>
      <w:r w:rsidR="002218A9">
        <w:t xml:space="preserve"> </w:t>
      </w:r>
      <w:r w:rsidR="005B653D">
        <w:t>ravimsöö</w:t>
      </w:r>
      <w:r w:rsidR="002218A9">
        <w:t>t</w:t>
      </w:r>
      <w:r w:rsidR="005B653D">
        <w:t>a või vahetoo</w:t>
      </w:r>
      <w:r w:rsidR="002218A9">
        <w:t>d</w:t>
      </w:r>
      <w:r w:rsidR="005B653D">
        <w:t>e</w:t>
      </w:r>
      <w:r w:rsidR="002218A9">
        <w:t>t</w:t>
      </w:r>
      <w:r w:rsidR="00D92BDF">
        <w:t xml:space="preserve"> </w:t>
      </w:r>
      <w:r w:rsidR="00D445BB">
        <w:t xml:space="preserve">neid vahepeal </w:t>
      </w:r>
      <w:r w:rsidR="005B653D">
        <w:t>ladustamata</w:t>
      </w:r>
      <w:r w:rsidR="00143B1B">
        <w:t xml:space="preserve"> või </w:t>
      </w:r>
      <w:r w:rsidR="00D445BB">
        <w:t xml:space="preserve">tegeleb </w:t>
      </w:r>
      <w:r w:rsidR="004F7772">
        <w:t xml:space="preserve">üksnes </w:t>
      </w:r>
      <w:r w:rsidR="00143B1B">
        <w:t>pakendatud ravimsööda või pakendatud vahetoote ladustami</w:t>
      </w:r>
      <w:r w:rsidR="00D445BB">
        <w:t>s</w:t>
      </w:r>
      <w:r w:rsidR="00143B1B">
        <w:t>e</w:t>
      </w:r>
      <w:r w:rsidR="00D445BB">
        <w:t>ga</w:t>
      </w:r>
      <w:r w:rsidR="00143B1B">
        <w:t>.</w:t>
      </w:r>
      <w:r w:rsidR="00143B1B" w:rsidRPr="00143B1B">
        <w:t xml:space="preserve"> </w:t>
      </w:r>
      <w:r w:rsidR="007D122D">
        <w:t>Eelnõuga kavandatu puhul on tegemist määruse (EL) 2019/4 artikli 13 lõike 2 rakendamisega.</w:t>
      </w:r>
    </w:p>
    <w:p w14:paraId="38EFFC67" w14:textId="77777777" w:rsidR="007D122D" w:rsidRDefault="007D122D" w:rsidP="00FC172A">
      <w:pPr>
        <w:jc w:val="both"/>
        <w:rPr>
          <w:bCs/>
        </w:rPr>
      </w:pPr>
    </w:p>
    <w:p w14:paraId="69B2C392" w14:textId="28607384" w:rsidR="00FC172A" w:rsidRDefault="002218A9" w:rsidP="00FC172A">
      <w:pPr>
        <w:jc w:val="both"/>
      </w:pPr>
      <w:r>
        <w:rPr>
          <w:bCs/>
        </w:rPr>
        <w:t>Samuti on u</w:t>
      </w:r>
      <w:r w:rsidR="00FC172A">
        <w:rPr>
          <w:bCs/>
        </w:rPr>
        <w:t>u</w:t>
      </w:r>
      <w:r w:rsidR="00FE7B24">
        <w:rPr>
          <w:bCs/>
        </w:rPr>
        <w:t>s</w:t>
      </w:r>
      <w:r w:rsidR="00FC172A">
        <w:rPr>
          <w:bCs/>
        </w:rPr>
        <w:t xml:space="preserve"> tegevusala </w:t>
      </w:r>
      <w:r w:rsidR="00FC172A" w:rsidRPr="007948DD">
        <w:rPr>
          <w:b/>
          <w:bCs/>
        </w:rPr>
        <w:t>eelsegu lisamine loomse toidu saamiseks peetava looma joogivette.</w:t>
      </w:r>
      <w:r w:rsidR="00FC172A">
        <w:rPr>
          <w:bCs/>
        </w:rPr>
        <w:t xml:space="preserve"> </w:t>
      </w:r>
      <w:r w:rsidR="00E42113">
        <w:rPr>
          <w:bCs/>
        </w:rPr>
        <w:t>M</w:t>
      </w:r>
      <w:r w:rsidR="00E42113">
        <w:t>ääruse (EÜ) nr 1831/2003</w:t>
      </w:r>
      <w:r w:rsidR="00E42113">
        <w:rPr>
          <w:rStyle w:val="FootnoteReference"/>
        </w:rPr>
        <w:footnoteReference w:id="4"/>
      </w:r>
      <w:r w:rsidR="00E42113">
        <w:t xml:space="preserve"> artikli 2 lõike 2 punkti e kohaselt on eelsegu</w:t>
      </w:r>
      <w:r w:rsidR="003E7B2E">
        <w:t>, kas</w:t>
      </w:r>
      <w:r w:rsidR="00E42113">
        <w:rPr>
          <w:rFonts w:eastAsia="Arial Unicode MS" w:hint="eastAsia"/>
        </w:rPr>
        <w:t xml:space="preserve"> söödalisandite segu</w:t>
      </w:r>
      <w:r w:rsidR="00E42113" w:rsidRPr="00E42113">
        <w:rPr>
          <w:rFonts w:eastAsia="Arial Unicode MS" w:hint="eastAsia"/>
        </w:rPr>
        <w:t xml:space="preserve"> või </w:t>
      </w:r>
      <w:r w:rsidR="00E42113">
        <w:rPr>
          <w:rFonts w:eastAsia="Arial Unicode MS" w:hint="eastAsia"/>
        </w:rPr>
        <w:t>ühe või mitme söödalisandi segu</w:t>
      </w:r>
      <w:r w:rsidR="00E42113" w:rsidRPr="00E42113">
        <w:rPr>
          <w:rFonts w:eastAsia="Arial Unicode MS" w:hint="eastAsia"/>
        </w:rPr>
        <w:t xml:space="preserve"> koos sööda</w:t>
      </w:r>
      <w:r w:rsidR="00E42113">
        <w:rPr>
          <w:rFonts w:eastAsia="Arial Unicode MS"/>
        </w:rPr>
        <w:t>materjalidega</w:t>
      </w:r>
      <w:r w:rsidR="00E42113" w:rsidRPr="00E42113">
        <w:rPr>
          <w:rFonts w:eastAsia="Arial Unicode MS" w:hint="eastAsia"/>
        </w:rPr>
        <w:t xml:space="preserve"> või </w:t>
      </w:r>
      <w:r w:rsidR="003E7B2E">
        <w:rPr>
          <w:rFonts w:eastAsia="Arial Unicode MS" w:hint="eastAsia"/>
        </w:rPr>
        <w:t>ühe või mitme söödalisandi segu</w:t>
      </w:r>
      <w:r w:rsidR="003E7B2E" w:rsidRPr="00E42113">
        <w:rPr>
          <w:rFonts w:eastAsia="Arial Unicode MS" w:hint="eastAsia"/>
        </w:rPr>
        <w:t xml:space="preserve"> koos </w:t>
      </w:r>
      <w:r w:rsidR="00E42113" w:rsidRPr="00E42113">
        <w:rPr>
          <w:rFonts w:eastAsia="Arial Unicode MS" w:hint="eastAsia"/>
        </w:rPr>
        <w:t>tugiainena kasutatava veega</w:t>
      </w:r>
      <w:r w:rsidR="003E7B2E">
        <w:rPr>
          <w:rFonts w:eastAsia="Arial Unicode MS"/>
        </w:rPr>
        <w:t>. Eelsegu</w:t>
      </w:r>
      <w:r w:rsidR="00E42113" w:rsidRPr="00E42113">
        <w:rPr>
          <w:rFonts w:eastAsia="Arial Unicode MS" w:hint="eastAsia"/>
        </w:rPr>
        <w:t xml:space="preserve"> ei ole ette nähtud loomadele otse söötmiseks</w:t>
      </w:r>
      <w:r w:rsidR="00E42113">
        <w:rPr>
          <w:rFonts w:eastAsia="Arial Unicode MS"/>
        </w:rPr>
        <w:t>.</w:t>
      </w:r>
      <w:r w:rsidR="00E42113">
        <w:t xml:space="preserve"> </w:t>
      </w:r>
      <w:r w:rsidR="000C6F58">
        <w:t>M</w:t>
      </w:r>
      <w:r w:rsidR="00FC172A">
        <w:t xml:space="preserve">ääruse </w:t>
      </w:r>
      <w:r w:rsidR="000C6F58">
        <w:t xml:space="preserve">(EÜ) nr 183/2005 </w:t>
      </w:r>
      <w:r w:rsidR="00FC172A">
        <w:t xml:space="preserve">III lisa kohaselt peab </w:t>
      </w:r>
      <w:r w:rsidR="00D24190">
        <w:t xml:space="preserve">loomade </w:t>
      </w:r>
      <w:r w:rsidR="00187188">
        <w:rPr>
          <w:rFonts w:eastAsia="Arial Unicode MS"/>
        </w:rPr>
        <w:t>joogivesi</w:t>
      </w:r>
      <w:r w:rsidR="00FC172A">
        <w:rPr>
          <w:rFonts w:eastAsia="Arial Unicode MS"/>
        </w:rPr>
        <w:t xml:space="preserve"> olema </w:t>
      </w:r>
      <w:r w:rsidR="00E42113">
        <w:rPr>
          <w:rFonts w:eastAsia="Arial Unicode MS"/>
        </w:rPr>
        <w:t xml:space="preserve">peetavatele </w:t>
      </w:r>
      <w:r w:rsidR="00FC172A">
        <w:rPr>
          <w:rFonts w:eastAsia="Arial Unicode MS"/>
        </w:rPr>
        <w:t xml:space="preserve">loomadele kohase kvaliteediga ning </w:t>
      </w:r>
      <w:r w:rsidR="00187188">
        <w:rPr>
          <w:rFonts w:eastAsia="Arial Unicode MS"/>
        </w:rPr>
        <w:t xml:space="preserve">loomade </w:t>
      </w:r>
      <w:r w:rsidR="00FC172A">
        <w:rPr>
          <w:rFonts w:eastAsia="Arial Unicode MS"/>
        </w:rPr>
        <w:t>jootmis</w:t>
      </w:r>
      <w:r w:rsidR="00187188">
        <w:rPr>
          <w:rFonts w:eastAsia="Arial Unicode MS"/>
        </w:rPr>
        <w:t>eks kasutatavaid vahendeid</w:t>
      </w:r>
      <w:r w:rsidR="00FC172A">
        <w:rPr>
          <w:rFonts w:eastAsia="Arial Unicode MS"/>
        </w:rPr>
        <w:t xml:space="preserve"> tuleb korrapäraselt puhastada ja hooldada. Seepärast võib l</w:t>
      </w:r>
      <w:r w:rsidR="00FC172A">
        <w:t xml:space="preserve">oomade </w:t>
      </w:r>
      <w:r w:rsidR="00FC172A" w:rsidRPr="00D8329C">
        <w:t xml:space="preserve">joogivette </w:t>
      </w:r>
      <w:r w:rsidR="0074599D" w:rsidRPr="00D8329C">
        <w:t>lisada</w:t>
      </w:r>
      <w:r w:rsidR="0074599D">
        <w:t xml:space="preserve"> </w:t>
      </w:r>
      <w:r w:rsidR="00FC172A">
        <w:t xml:space="preserve">üksnes eelsegu, mis koosneb söödalisanditest, </w:t>
      </w:r>
      <w:r w:rsidR="00FC172A">
        <w:rPr>
          <w:bCs/>
          <w:lang w:eastAsia="et-EE"/>
        </w:rPr>
        <w:t xml:space="preserve">mille kohta on antud </w:t>
      </w:r>
      <w:r w:rsidR="00E930C9">
        <w:t>määruse (EÜ) nr 1831/2003 alusel</w:t>
      </w:r>
      <w:r w:rsidR="00E930C9">
        <w:rPr>
          <w:bCs/>
          <w:lang w:eastAsia="et-EE"/>
        </w:rPr>
        <w:t xml:space="preserve"> </w:t>
      </w:r>
      <w:r w:rsidR="00FC172A">
        <w:rPr>
          <w:bCs/>
          <w:lang w:eastAsia="et-EE"/>
        </w:rPr>
        <w:t>luba nende kasutamiseks loomade joogivees</w:t>
      </w:r>
      <w:r w:rsidR="00FC172A">
        <w:t xml:space="preserve">. Näiteks on lubatud loomade joogivette </w:t>
      </w:r>
      <w:r w:rsidR="00C408E5">
        <w:t xml:space="preserve">lisada </w:t>
      </w:r>
      <w:r w:rsidR="00FC172A">
        <w:t>söödalisandit B</w:t>
      </w:r>
      <w:r w:rsidR="00FC172A">
        <w:rPr>
          <w:vertAlign w:val="subscript"/>
        </w:rPr>
        <w:t>1</w:t>
      </w:r>
      <w:r w:rsidR="00FC172A">
        <w:t xml:space="preserve">-vitamiin (tiamiinmononitraat). Samas puudub samasugune luba </w:t>
      </w:r>
      <w:r w:rsidR="00FC172A" w:rsidRPr="00EF7BD9">
        <w:t>söödalisandil D</w:t>
      </w:r>
      <w:r w:rsidR="00FC172A" w:rsidRPr="00EF7BD9">
        <w:rPr>
          <w:vertAlign w:val="subscript"/>
        </w:rPr>
        <w:t>3</w:t>
      </w:r>
      <w:r w:rsidR="00FC172A" w:rsidRPr="00EF7BD9">
        <w:t>-vitamiin</w:t>
      </w:r>
      <w:r w:rsidR="00FC172A">
        <w:t xml:space="preserve"> (kolekaltsiferool) ja seda on lubatud loomadele sööta üksnes siis, kui see on segatud </w:t>
      </w:r>
      <w:r w:rsidR="0079578E">
        <w:t>söödamaterjalide või täiend</w:t>
      </w:r>
      <w:r w:rsidR="00FC172A">
        <w:t xml:space="preserve">söödaga. </w:t>
      </w:r>
    </w:p>
    <w:p w14:paraId="0A05B52C" w14:textId="77777777" w:rsidR="00431AF2" w:rsidRDefault="00431AF2" w:rsidP="00FC172A">
      <w:pPr>
        <w:jc w:val="both"/>
        <w:rPr>
          <w:shd w:val="clear" w:color="auto" w:fill="FFFFFF"/>
        </w:rPr>
      </w:pPr>
    </w:p>
    <w:p w14:paraId="18041980" w14:textId="77777777" w:rsidR="00425D71" w:rsidRDefault="00FC172A" w:rsidP="00425D71">
      <w:pPr>
        <w:jc w:val="both"/>
      </w:pPr>
      <w:r>
        <w:rPr>
          <w:shd w:val="clear" w:color="auto" w:fill="FFFFFF"/>
        </w:rPr>
        <w:t xml:space="preserve">Kuigi </w:t>
      </w:r>
      <w:r w:rsidR="000C6F58">
        <w:rPr>
          <w:shd w:val="clear" w:color="auto" w:fill="FFFFFF"/>
        </w:rPr>
        <w:t>eelsegu</w:t>
      </w:r>
      <w:r>
        <w:rPr>
          <w:shd w:val="clear" w:color="auto" w:fill="FFFFFF"/>
        </w:rPr>
        <w:t xml:space="preserve"> lisamine loomade joogivette toimub põllumajandusettevõttes, ei saa seda käsitada esmatootmisega seotud tegevusena, sest </w:t>
      </w:r>
      <w:r w:rsidR="0079578E">
        <w:t xml:space="preserve">määruse </w:t>
      </w:r>
      <w:r w:rsidR="007948DD">
        <w:t xml:space="preserve">(EÜ) nr 183/2005 </w:t>
      </w:r>
      <w:r w:rsidR="0079578E">
        <w:t>artikli</w:t>
      </w:r>
      <w:r>
        <w:t xml:space="preserve"> 5 </w:t>
      </w:r>
      <w:r w:rsidR="0079578E">
        <w:t xml:space="preserve">lõikes 2 </w:t>
      </w:r>
      <w:r>
        <w:t xml:space="preserve">sätestatu kohaselt on </w:t>
      </w:r>
      <w:r w:rsidR="0079578E">
        <w:t>eelsegu loomade joogivette</w:t>
      </w:r>
      <w:r>
        <w:t xml:space="preserve"> </w:t>
      </w:r>
      <w:r w:rsidR="00FE72F9">
        <w:t xml:space="preserve">lisamine </w:t>
      </w:r>
      <w:r>
        <w:t xml:space="preserve">tegevus, millega tegelemise korral tuleb täita </w:t>
      </w:r>
      <w:r w:rsidR="007948DD">
        <w:t xml:space="preserve">sama </w:t>
      </w:r>
      <w:r w:rsidR="0079578E">
        <w:t xml:space="preserve">määruse </w:t>
      </w:r>
      <w:r>
        <w:t>II lisas sätestatud nõudeid.</w:t>
      </w:r>
    </w:p>
    <w:p w14:paraId="70530609" w14:textId="77777777" w:rsidR="00FC172A" w:rsidRDefault="00FC172A" w:rsidP="00FC172A">
      <w:pPr>
        <w:jc w:val="both"/>
      </w:pPr>
    </w:p>
    <w:p w14:paraId="3C1B6C80" w14:textId="77777777" w:rsidR="002248BB" w:rsidRPr="007948DD" w:rsidRDefault="00C45CD6" w:rsidP="002248BB">
      <w:pPr>
        <w:jc w:val="both"/>
        <w:rPr>
          <w:b/>
        </w:rPr>
      </w:pPr>
      <w:r>
        <w:rPr>
          <w:b/>
        </w:rPr>
        <w:t>1.2.2</w:t>
      </w:r>
      <w:r w:rsidR="00E277DC">
        <w:rPr>
          <w:b/>
        </w:rPr>
        <w:t>.</w:t>
      </w:r>
      <w:r>
        <w:rPr>
          <w:b/>
        </w:rPr>
        <w:t xml:space="preserve"> </w:t>
      </w:r>
      <w:r w:rsidR="00923397" w:rsidRPr="007948DD">
        <w:rPr>
          <w:b/>
        </w:rPr>
        <w:t>Tabeli osas 2 tuuakse e</w:t>
      </w:r>
      <w:r w:rsidR="00D33D0E" w:rsidRPr="007948DD">
        <w:rPr>
          <w:b/>
        </w:rPr>
        <w:t>raldi tegevusala</w:t>
      </w:r>
      <w:r w:rsidR="00B53516" w:rsidRPr="007948DD">
        <w:rPr>
          <w:b/>
        </w:rPr>
        <w:t>de</w:t>
      </w:r>
      <w:r w:rsidR="00D33D0E" w:rsidRPr="007948DD">
        <w:rPr>
          <w:b/>
        </w:rPr>
        <w:t xml:space="preserve">na välja </w:t>
      </w:r>
      <w:r w:rsidR="00305472" w:rsidRPr="007948DD">
        <w:rPr>
          <w:b/>
        </w:rPr>
        <w:t>erinevate söödaliikide</w:t>
      </w:r>
      <w:r w:rsidR="00D33D0E" w:rsidRPr="007948DD">
        <w:rPr>
          <w:b/>
        </w:rPr>
        <w:t xml:space="preserve"> müümine jaekaubanduses, sealhulgas sidevahendite kaudu</w:t>
      </w:r>
      <w:r w:rsidR="00EA1736">
        <w:rPr>
          <w:b/>
        </w:rPr>
        <w:t>,</w:t>
      </w:r>
      <w:r w:rsidR="00D33D0E" w:rsidRPr="007948DD">
        <w:rPr>
          <w:b/>
        </w:rPr>
        <w:t xml:space="preserve"> ning segasööda</w:t>
      </w:r>
      <w:r w:rsidR="002248BB" w:rsidRPr="007948DD">
        <w:rPr>
          <w:b/>
        </w:rPr>
        <w:t xml:space="preserve"> </w:t>
      </w:r>
      <w:r w:rsidR="00D33D0E" w:rsidRPr="007948DD">
        <w:rPr>
          <w:b/>
        </w:rPr>
        <w:t>tootmine selleks spetsiaalselt seadmestatud veokis.</w:t>
      </w:r>
    </w:p>
    <w:p w14:paraId="031E2D44" w14:textId="77777777" w:rsidR="002248BB" w:rsidRDefault="002248BB" w:rsidP="00653F95">
      <w:pPr>
        <w:jc w:val="both"/>
      </w:pPr>
    </w:p>
    <w:p w14:paraId="37BB371C" w14:textId="042F84DD" w:rsidR="00143B1B" w:rsidRPr="00C72598" w:rsidRDefault="0001687F" w:rsidP="00653F95">
      <w:pPr>
        <w:jc w:val="both"/>
      </w:pPr>
      <w:r>
        <w:t>Esimesel juhul on tegemist täpsustusega, mis on seotud sööda</w:t>
      </w:r>
      <w:r w:rsidR="00385B74">
        <w:t xml:space="preserve"> </w:t>
      </w:r>
      <w:r>
        <w:t xml:space="preserve">müümisega jaekaubanduses ja mis hõlmab ka sööda müüki sidevahendite kaudu. Enamasti </w:t>
      </w:r>
      <w:r w:rsidRPr="00C72598">
        <w:t>puudub järelevalveasutusel teave sööda käitlejate kohta, kes tegelevad sööda müügiga sidevahendite kaudu.</w:t>
      </w:r>
      <w:r>
        <w:t xml:space="preserve"> </w:t>
      </w:r>
      <w:r w:rsidR="00B92087" w:rsidRPr="00C72598">
        <w:t>Arvestades</w:t>
      </w:r>
      <w:r w:rsidR="002248BB" w:rsidRPr="00C72598">
        <w:t xml:space="preserve"> </w:t>
      </w:r>
      <w:r w:rsidR="00187188">
        <w:t>praeguseid</w:t>
      </w:r>
      <w:r w:rsidR="00187188" w:rsidRPr="00C72598">
        <w:t xml:space="preserve"> </w:t>
      </w:r>
      <w:r w:rsidR="00E00F02">
        <w:t xml:space="preserve">sööda e-kaubanduse </w:t>
      </w:r>
      <w:r w:rsidR="003E7B2E">
        <w:t xml:space="preserve">positiivseid </w:t>
      </w:r>
      <w:r w:rsidR="00187188">
        <w:t>arengusuundi</w:t>
      </w:r>
      <w:r w:rsidR="000E33E3">
        <w:t xml:space="preserve"> </w:t>
      </w:r>
      <w:r w:rsidR="002248BB" w:rsidRPr="00C72598">
        <w:t xml:space="preserve">ja </w:t>
      </w:r>
      <w:r w:rsidR="004241C2">
        <w:t xml:space="preserve">sellise tegevuse kontrollimise </w:t>
      </w:r>
      <w:r w:rsidR="002248BB" w:rsidRPr="00C72598">
        <w:t>keerukust, on vaja koguda eraldi andmeid selliste ettevõt</w:t>
      </w:r>
      <w:r w:rsidR="00DE7C5A">
        <w:t>ja</w:t>
      </w:r>
      <w:r w:rsidR="002248BB" w:rsidRPr="00C72598">
        <w:t>te tegevuse kohta.</w:t>
      </w:r>
      <w:r>
        <w:t xml:space="preserve"> </w:t>
      </w:r>
    </w:p>
    <w:p w14:paraId="243E09DD" w14:textId="77777777" w:rsidR="007D122D" w:rsidRPr="00C72598" w:rsidRDefault="007D122D" w:rsidP="00653F95">
      <w:pPr>
        <w:jc w:val="both"/>
      </w:pPr>
    </w:p>
    <w:p w14:paraId="7B0D21D9" w14:textId="77777777" w:rsidR="00E50789" w:rsidRDefault="004875D9" w:rsidP="00E50789">
      <w:pPr>
        <w:jc w:val="both"/>
      </w:pPr>
      <w:r>
        <w:t>Teisel juhul on tegemist täpsustusega, mis on seotud segasööda tootmis</w:t>
      </w:r>
      <w:r w:rsidR="00B53516" w:rsidRPr="00C72598">
        <w:t>e</w:t>
      </w:r>
      <w:r>
        <w:t>ga</w:t>
      </w:r>
      <w:r w:rsidR="00B53516" w:rsidRPr="00C72598">
        <w:t xml:space="preserve"> selleks spetsiaalselt seadmestatud veokis</w:t>
      </w:r>
      <w:r>
        <w:t>.</w:t>
      </w:r>
      <w:r w:rsidR="00B53516" w:rsidRPr="00C72598">
        <w:t xml:space="preserve"> </w:t>
      </w:r>
      <w:r w:rsidR="003D299B">
        <w:t>Nimetatud veoki puhul on t</w:t>
      </w:r>
      <w:r w:rsidR="00E50789" w:rsidRPr="00C72598">
        <w:t>egemist</w:t>
      </w:r>
      <w:r>
        <w:t xml:space="preserve"> liikuva segamisüksusega, millega osutatakse sööda</w:t>
      </w:r>
      <w:r w:rsidR="00E50789">
        <w:t xml:space="preserve"> segamisteenus</w:t>
      </w:r>
      <w:r>
        <w:t>t</w:t>
      </w:r>
      <w:r w:rsidR="00E50789">
        <w:t xml:space="preserve"> </w:t>
      </w:r>
      <w:r w:rsidR="001C0BBA">
        <w:t>erinevates põllumajandusettevõtetes</w:t>
      </w:r>
      <w:r w:rsidR="00E50789">
        <w:t xml:space="preserve">. </w:t>
      </w:r>
      <w:r w:rsidR="00B53516" w:rsidRPr="00C72598">
        <w:t xml:space="preserve">Kasutatav tehnika võimaldab enne sööda </w:t>
      </w:r>
      <w:r w:rsidR="00D71DF2" w:rsidRPr="00C72598">
        <w:t xml:space="preserve">kokku </w:t>
      </w:r>
      <w:r w:rsidR="00B53516" w:rsidRPr="00C72598">
        <w:t xml:space="preserve">segamist </w:t>
      </w:r>
      <w:r w:rsidR="008E6BD8">
        <w:t xml:space="preserve">teravilja </w:t>
      </w:r>
      <w:r w:rsidR="00B53516" w:rsidRPr="00C72598">
        <w:t xml:space="preserve">jahvatada või muljuda </w:t>
      </w:r>
      <w:r w:rsidR="00D71DF2" w:rsidRPr="00C72598">
        <w:rPr>
          <w:color w:val="333333"/>
          <w:shd w:val="clear" w:color="auto" w:fill="FFFFFF"/>
        </w:rPr>
        <w:t xml:space="preserve">ning seejärel lisada </w:t>
      </w:r>
      <w:r w:rsidR="000E33E3">
        <w:rPr>
          <w:color w:val="333333"/>
          <w:shd w:val="clear" w:color="auto" w:fill="FFFFFF"/>
        </w:rPr>
        <w:t xml:space="preserve">selle </w:t>
      </w:r>
      <w:r w:rsidR="00D63D13">
        <w:rPr>
          <w:color w:val="333333"/>
          <w:shd w:val="clear" w:color="auto" w:fill="FFFFFF"/>
        </w:rPr>
        <w:t xml:space="preserve">hulka </w:t>
      </w:r>
      <w:r w:rsidR="00D71DF2" w:rsidRPr="00C72598">
        <w:rPr>
          <w:color w:val="333333"/>
          <w:shd w:val="clear" w:color="auto" w:fill="FFFFFF"/>
        </w:rPr>
        <w:t xml:space="preserve">erinevaid sööda koostisosi, sealhulgas väiksema lisamismääraga komponente. </w:t>
      </w:r>
      <w:r w:rsidR="00E50789" w:rsidRPr="00C72598">
        <w:t>Enamasti kasutatakse sööda segamisel teenuse tellija materjale</w:t>
      </w:r>
      <w:r w:rsidR="00F5226D">
        <w:t xml:space="preserve"> ja</w:t>
      </w:r>
      <w:r w:rsidR="00E50789" w:rsidRPr="00C72598">
        <w:t xml:space="preserve"> segamisel lähtutakse tellija söödaretseptist.</w:t>
      </w:r>
      <w:r w:rsidR="00E50789">
        <w:t xml:space="preserve"> </w:t>
      </w:r>
      <w:r w:rsidR="003D299B">
        <w:t xml:space="preserve">Erinevates põllumajandusettevõtetes segatav sööt võib olla erineva koostisega, mistõttu on sööda ristsaastumise võimalus suur. </w:t>
      </w:r>
      <w:r w:rsidR="0052062C">
        <w:t>Kuigi sööda segamine toimub põllumajandusettevõttes kohapeal, ei saa s</w:t>
      </w:r>
      <w:r w:rsidR="0096022A">
        <w:t xml:space="preserve">ellist sööda segamist </w:t>
      </w:r>
      <w:r w:rsidR="0096022A">
        <w:rPr>
          <w:shd w:val="clear" w:color="auto" w:fill="FFFFFF"/>
        </w:rPr>
        <w:t>käsitada esmatootmise tasandil tehtava tavapäras</w:t>
      </w:r>
      <w:r w:rsidR="001C0BBA">
        <w:rPr>
          <w:shd w:val="clear" w:color="auto" w:fill="FFFFFF"/>
        </w:rPr>
        <w:t>e toimingu</w:t>
      </w:r>
      <w:r w:rsidR="0096022A">
        <w:rPr>
          <w:shd w:val="clear" w:color="auto" w:fill="FFFFFF"/>
        </w:rPr>
        <w:t xml:space="preserve">na ega ka </w:t>
      </w:r>
      <w:r w:rsidR="001C0BBA">
        <w:rPr>
          <w:shd w:val="clear" w:color="auto" w:fill="FFFFFF"/>
        </w:rPr>
        <w:t>esmatootmisega seotud toimingu</w:t>
      </w:r>
      <w:r w:rsidR="0096022A">
        <w:rPr>
          <w:shd w:val="clear" w:color="auto" w:fill="FFFFFF"/>
        </w:rPr>
        <w:t xml:space="preserve">na, mistõttu tuleb nimetatud tegevusega tegelemise korral järgida </w:t>
      </w:r>
      <w:r w:rsidR="0096022A" w:rsidRPr="00CF12D5">
        <w:t>määruse (EÜ) nr 183/2005 II lisa</w:t>
      </w:r>
      <w:r w:rsidR="0096022A">
        <w:t>.</w:t>
      </w:r>
      <w:r w:rsidR="001C0BBA">
        <w:t xml:space="preserve"> </w:t>
      </w:r>
      <w:r w:rsidR="00DF4A23">
        <w:t>S</w:t>
      </w:r>
      <w:r w:rsidR="00DF4A23" w:rsidRPr="00C72598">
        <w:t xml:space="preserve">petsiaalselt seadmestatud veokis </w:t>
      </w:r>
      <w:r w:rsidR="00DF4A23">
        <w:t>sööda segamisega tegelemise korral tuleb isikul esitada PTA-le majandustegevusteade, välja arvatud j</w:t>
      </w:r>
      <w:r w:rsidR="001C0BBA">
        <w:t xml:space="preserve">uhul, kui </w:t>
      </w:r>
      <w:r w:rsidR="00DF4A23">
        <w:t xml:space="preserve">sööta </w:t>
      </w:r>
      <w:r w:rsidR="00F57A7A">
        <w:t xml:space="preserve">segatakse </w:t>
      </w:r>
      <w:r w:rsidR="001C0BBA">
        <w:t>teatavaid söödalisandeid</w:t>
      </w:r>
      <w:r w:rsidR="00EA17B1">
        <w:t>,</w:t>
      </w:r>
      <w:r w:rsidR="001C0BBA">
        <w:t xml:space="preserve"> nagu näiteks koktsidiostaatikumid</w:t>
      </w:r>
      <w:r w:rsidR="00DF4A23">
        <w:t>. Sellisel juhul</w:t>
      </w:r>
      <w:r w:rsidR="0084733C">
        <w:t xml:space="preserve"> peab sööda käitlejal olema asjakohane tegevusluba.</w:t>
      </w:r>
      <w:r w:rsidR="00F57A7A">
        <w:t xml:space="preserve"> </w:t>
      </w:r>
    </w:p>
    <w:p w14:paraId="41D8755F" w14:textId="77777777" w:rsidR="00B53516" w:rsidRDefault="00B53516" w:rsidP="00653F95">
      <w:pPr>
        <w:jc w:val="both"/>
      </w:pPr>
    </w:p>
    <w:p w14:paraId="281B9AF3" w14:textId="77777777" w:rsidR="00C36317" w:rsidRDefault="00C45CD6" w:rsidP="00653F95">
      <w:pPr>
        <w:jc w:val="both"/>
      </w:pPr>
      <w:r w:rsidRPr="00E277DC">
        <w:rPr>
          <w:b/>
        </w:rPr>
        <w:t>1.2.3</w:t>
      </w:r>
      <w:r w:rsidR="00D26FC1">
        <w:rPr>
          <w:b/>
        </w:rPr>
        <w:t>.</w:t>
      </w:r>
      <w:r>
        <w:t xml:space="preserve"> </w:t>
      </w:r>
      <w:r w:rsidR="0054466C">
        <w:t xml:space="preserve">Lisaks eelnevale täpsustatakse </w:t>
      </w:r>
      <w:r w:rsidR="0054466C" w:rsidRPr="007948DD">
        <w:rPr>
          <w:b/>
        </w:rPr>
        <w:t>tabeli osas 2</w:t>
      </w:r>
      <w:r w:rsidR="00D33D0E" w:rsidRPr="007948DD">
        <w:rPr>
          <w:b/>
        </w:rPr>
        <w:t xml:space="preserve"> tegevusalasid, mis on seotud sööda pakendamisega või lemmikloomatoidu tootmise, turuleviimise, ladustamise </w:t>
      </w:r>
      <w:r w:rsidR="00A04B68" w:rsidRPr="007948DD">
        <w:rPr>
          <w:b/>
        </w:rPr>
        <w:t>või</w:t>
      </w:r>
      <w:r w:rsidR="00D33D0E" w:rsidRPr="007948DD">
        <w:rPr>
          <w:b/>
        </w:rPr>
        <w:t xml:space="preserve"> veoga</w:t>
      </w:r>
      <w:r w:rsidR="00D33D0E" w:rsidRPr="00733111">
        <w:t>.</w:t>
      </w:r>
    </w:p>
    <w:p w14:paraId="46142329" w14:textId="77777777" w:rsidR="00A070C9" w:rsidRDefault="00A070C9" w:rsidP="00653F95">
      <w:pPr>
        <w:jc w:val="both"/>
      </w:pPr>
    </w:p>
    <w:p w14:paraId="0D95AF4B" w14:textId="77777777" w:rsidR="00E31524" w:rsidRDefault="004261D9" w:rsidP="0096022A">
      <w:pPr>
        <w:jc w:val="both"/>
      </w:pPr>
      <w:r>
        <w:t>Kehtiva lisa</w:t>
      </w:r>
      <w:r w:rsidR="002B1724">
        <w:t xml:space="preserve"> </w:t>
      </w:r>
      <w:r w:rsidR="00617447">
        <w:t xml:space="preserve">1 </w:t>
      </w:r>
      <w:r w:rsidR="002B1724">
        <w:t>tabeli osa</w:t>
      </w:r>
      <w:r>
        <w:t>s</w:t>
      </w:r>
      <w:r w:rsidR="002B1724">
        <w:t xml:space="preserve"> 2</w:t>
      </w:r>
      <w:r>
        <w:t xml:space="preserve"> kasutatakse terminit ,,ümberpakendamine</w:t>
      </w:r>
      <w:r w:rsidRPr="00A04B68">
        <w:rPr>
          <w:bCs/>
        </w:rPr>
        <w:t>”</w:t>
      </w:r>
      <w:r>
        <w:rPr>
          <w:bCs/>
        </w:rPr>
        <w:t xml:space="preserve">, </w:t>
      </w:r>
      <w:r w:rsidR="00733111">
        <w:rPr>
          <w:bCs/>
        </w:rPr>
        <w:t xml:space="preserve">mida </w:t>
      </w:r>
      <w:r>
        <w:rPr>
          <w:bCs/>
        </w:rPr>
        <w:t xml:space="preserve">sööda valdkonna õigusaktides </w:t>
      </w:r>
      <w:r w:rsidR="002B1724">
        <w:rPr>
          <w:bCs/>
        </w:rPr>
        <w:t xml:space="preserve">sisustatud </w:t>
      </w:r>
      <w:r>
        <w:rPr>
          <w:bCs/>
        </w:rPr>
        <w:t xml:space="preserve">ei </w:t>
      </w:r>
      <w:r w:rsidR="002B1724">
        <w:rPr>
          <w:bCs/>
        </w:rPr>
        <w:t>ole</w:t>
      </w:r>
      <w:r>
        <w:rPr>
          <w:bCs/>
        </w:rPr>
        <w:t xml:space="preserve">. </w:t>
      </w:r>
      <w:r w:rsidR="00733111">
        <w:rPr>
          <w:bCs/>
        </w:rPr>
        <w:t xml:space="preserve">Kasutatav </w:t>
      </w:r>
      <w:r w:rsidR="00733111" w:rsidRPr="00B514A9">
        <w:rPr>
          <w:bCs/>
        </w:rPr>
        <w:t>termin</w:t>
      </w:r>
      <w:r w:rsidR="00733111">
        <w:rPr>
          <w:bCs/>
        </w:rPr>
        <w:t xml:space="preserve"> on eksitav, sest võib tähendada nii </w:t>
      </w:r>
      <w:r w:rsidR="00A8590F">
        <w:rPr>
          <w:bCs/>
        </w:rPr>
        <w:t>suletud</w:t>
      </w:r>
      <w:r w:rsidR="00733111">
        <w:rPr>
          <w:bCs/>
        </w:rPr>
        <w:t xml:space="preserve"> pakendit kui ka </w:t>
      </w:r>
      <w:r w:rsidR="00A8590F">
        <w:rPr>
          <w:bCs/>
        </w:rPr>
        <w:t>nõuetekohaselt sulge</w:t>
      </w:r>
      <w:r w:rsidR="00733111">
        <w:rPr>
          <w:bCs/>
        </w:rPr>
        <w:t xml:space="preserve">mata pakendit. </w:t>
      </w:r>
      <w:r w:rsidR="002B0E48">
        <w:rPr>
          <w:bCs/>
        </w:rPr>
        <w:t>Eelnõu kohaselt on t</w:t>
      </w:r>
      <w:r w:rsidR="009128C2">
        <w:rPr>
          <w:bCs/>
        </w:rPr>
        <w:t>egevusala täpsustatud nimetus</w:t>
      </w:r>
      <w:r w:rsidR="002B0E48">
        <w:rPr>
          <w:bCs/>
        </w:rPr>
        <w:t xml:space="preserve"> </w:t>
      </w:r>
      <w:r w:rsidR="009128C2">
        <w:rPr>
          <w:bCs/>
        </w:rPr>
        <w:t>,,</w:t>
      </w:r>
      <w:r w:rsidR="009128C2">
        <w:t>Ostetud sööda, välja arvatud ravimsööda ja ravimsööda vahetoote pakendamine</w:t>
      </w:r>
      <w:r w:rsidR="009128C2">
        <w:rPr>
          <w:bCs/>
        </w:rPr>
        <w:t>”</w:t>
      </w:r>
      <w:r w:rsidR="009128C2">
        <w:t xml:space="preserve">. Ravimsööta ja ravimsööda vahetoodet ei ole lubatud </w:t>
      </w:r>
      <w:r w:rsidR="006A7011">
        <w:t xml:space="preserve">pakendada </w:t>
      </w:r>
      <w:r w:rsidR="00E31524">
        <w:t>suurest pakendist väiksematesse pakenditesse.</w:t>
      </w:r>
    </w:p>
    <w:p w14:paraId="42728A17" w14:textId="77777777" w:rsidR="00E277DC" w:rsidRDefault="00E277DC" w:rsidP="0096022A">
      <w:pPr>
        <w:jc w:val="both"/>
      </w:pPr>
    </w:p>
    <w:p w14:paraId="3F2876E3" w14:textId="77777777" w:rsidR="004261D9" w:rsidRPr="00733111" w:rsidRDefault="00DB1BFD" w:rsidP="0096022A">
      <w:pPr>
        <w:jc w:val="both"/>
        <w:rPr>
          <w:bCs/>
        </w:rPr>
      </w:pPr>
      <w:r>
        <w:t>Termin ,,pakendatud sööt</w:t>
      </w:r>
      <w:r>
        <w:rPr>
          <w:bCs/>
        </w:rPr>
        <w:t xml:space="preserve">” tähendab sööta, mis on </w:t>
      </w:r>
      <w:r w:rsidR="00D32245">
        <w:rPr>
          <w:bCs/>
        </w:rPr>
        <w:t>nõuetekohaselt pakendatud.</w:t>
      </w:r>
      <w:r>
        <w:t xml:space="preserve"> </w:t>
      </w:r>
      <w:r w:rsidR="00E8715F">
        <w:t>M</w:t>
      </w:r>
      <w:r w:rsidR="004261D9" w:rsidRPr="00733111">
        <w:t>ääruse (EÜ) nr 767/2009</w:t>
      </w:r>
      <w:r w:rsidR="004261D9" w:rsidRPr="00733111">
        <w:rPr>
          <w:rStyle w:val="FootnoteReference"/>
        </w:rPr>
        <w:footnoteReference w:id="5"/>
      </w:r>
      <w:r w:rsidR="004261D9" w:rsidRPr="00733111">
        <w:t xml:space="preserve"> artikli 23 lõike 1 </w:t>
      </w:r>
      <w:r w:rsidR="00E8715F">
        <w:t xml:space="preserve">kohaselt </w:t>
      </w:r>
      <w:r w:rsidR="004261D9" w:rsidRPr="00733111">
        <w:t xml:space="preserve">võib sööta turule viia üksnes </w:t>
      </w:r>
      <w:r w:rsidR="00D32245">
        <w:t>suletud</w:t>
      </w:r>
      <w:r w:rsidR="004261D9" w:rsidRPr="00733111">
        <w:t xml:space="preserve"> pakendites või mahutites.</w:t>
      </w:r>
      <w:r w:rsidR="008E71A1" w:rsidRPr="00733111">
        <w:t xml:space="preserve"> </w:t>
      </w:r>
      <w:r w:rsidR="00D32245">
        <w:t xml:space="preserve">Pakendid või mahutid suletakse nii, et pakendi või mahuti avamiseks tuleb sulgemiskoht rikkuda ja seda ei ole võimalik enam uuesti kasutada. </w:t>
      </w:r>
      <w:r w:rsidR="008E71A1" w:rsidRPr="00733111">
        <w:t xml:space="preserve">Turule viidav sööt peab olema märgistatud samas määruses sätestatud nõuete kohaselt. Juhul, kui sööda käitleja ostab sööta suures pakendis ja soovib </w:t>
      </w:r>
      <w:r w:rsidR="009B762C" w:rsidRPr="00733111">
        <w:t xml:space="preserve">seda turule viia väiksemates pakendites, tuleb kõik uued pakendid nõuetekohaselt sulgeda </w:t>
      </w:r>
      <w:r w:rsidR="009128C2" w:rsidRPr="00733111">
        <w:t>ja märgistada vastavalt määrusele</w:t>
      </w:r>
      <w:r w:rsidR="009B762C" w:rsidRPr="00733111">
        <w:t xml:space="preserve"> (EÜ) nr 767/2009.</w:t>
      </w:r>
      <w:r w:rsidR="001A0469">
        <w:t xml:space="preserve"> </w:t>
      </w:r>
      <w:r w:rsidR="009D25AF">
        <w:t>Pakendaja puhul, kes pakendab turule viidava sööda s</w:t>
      </w:r>
      <w:r w:rsidR="005D0B41">
        <w:t>uurest pakendi</w:t>
      </w:r>
      <w:r w:rsidR="001A0469">
        <w:t>st väiksematesse pakenditesse</w:t>
      </w:r>
      <w:r w:rsidR="009D25AF">
        <w:t>,</w:t>
      </w:r>
      <w:r w:rsidR="00D67DB3">
        <w:t xml:space="preserve"> </w:t>
      </w:r>
      <w:r w:rsidR="005D0B41">
        <w:t>on tegemist</w:t>
      </w:r>
      <w:r w:rsidR="001A0469">
        <w:t xml:space="preserve"> sööda </w:t>
      </w:r>
      <w:r w:rsidR="005D0B41">
        <w:t>märgistamise eest vastutava isikuga ja</w:t>
      </w:r>
      <w:r w:rsidR="009B762C" w:rsidRPr="00733111">
        <w:t xml:space="preserve"> </w:t>
      </w:r>
      <w:r w:rsidR="005D0B41">
        <w:t>v</w:t>
      </w:r>
      <w:r w:rsidR="009B762C" w:rsidRPr="00733111">
        <w:t xml:space="preserve">astavalt </w:t>
      </w:r>
      <w:r w:rsidR="009128C2" w:rsidRPr="00733111">
        <w:t xml:space="preserve">sama määruse artikli 12 lõikele 1 tagab </w:t>
      </w:r>
      <w:r w:rsidR="005D0B41">
        <w:t>kõnealune</w:t>
      </w:r>
      <w:r w:rsidR="009128C2" w:rsidRPr="00733111">
        <w:t xml:space="preserve"> isik märgistusandmete esitamise ja </w:t>
      </w:r>
      <w:r w:rsidR="000E33E3">
        <w:t xml:space="preserve">nende </w:t>
      </w:r>
      <w:r w:rsidR="009128C2" w:rsidRPr="00733111">
        <w:t>sisulise õigsuse.</w:t>
      </w:r>
      <w:r w:rsidR="009B762C" w:rsidRPr="00733111">
        <w:t xml:space="preserve"> </w:t>
      </w:r>
    </w:p>
    <w:p w14:paraId="0E65B6D6" w14:textId="77777777" w:rsidR="00302BA4" w:rsidRPr="00733111" w:rsidRDefault="00302BA4" w:rsidP="0096022A">
      <w:pPr>
        <w:jc w:val="both"/>
      </w:pPr>
    </w:p>
    <w:p w14:paraId="6F23F772" w14:textId="77777777" w:rsidR="00E31524" w:rsidRDefault="008A141D" w:rsidP="0096022A">
      <w:pPr>
        <w:jc w:val="both"/>
      </w:pPr>
      <w:r w:rsidRPr="00733111">
        <w:t xml:space="preserve">Alati ei pea </w:t>
      </w:r>
      <w:r w:rsidR="00AB08BC">
        <w:t>olema turustatav</w:t>
      </w:r>
      <w:r w:rsidR="00D32245">
        <w:t>a sööda</w:t>
      </w:r>
      <w:r w:rsidR="00AB08BC">
        <w:t xml:space="preserve"> </w:t>
      </w:r>
      <w:r w:rsidRPr="00733111">
        <w:t xml:space="preserve">pakend </w:t>
      </w:r>
      <w:r w:rsidR="00D32245">
        <w:t>nõuetekohaselt suletud</w:t>
      </w:r>
      <w:r w:rsidRPr="00733111">
        <w:t>, sest e</w:t>
      </w:r>
      <w:r w:rsidR="00302BA4" w:rsidRPr="00733111">
        <w:t xml:space="preserve">randina </w:t>
      </w:r>
      <w:r w:rsidR="00A04B68" w:rsidRPr="00733111">
        <w:t>eelnevast</w:t>
      </w:r>
      <w:r w:rsidR="00302BA4" w:rsidRPr="00733111">
        <w:t xml:space="preserve"> võib sööta </w:t>
      </w:r>
      <w:r w:rsidR="009D25AF">
        <w:t xml:space="preserve">turule </w:t>
      </w:r>
      <w:r w:rsidR="00302BA4" w:rsidRPr="00733111">
        <w:t xml:space="preserve">viia </w:t>
      </w:r>
      <w:r w:rsidR="00D32245" w:rsidRPr="00733111">
        <w:t xml:space="preserve">nõuetekohaselt sulgemata </w:t>
      </w:r>
      <w:r w:rsidR="00D32245">
        <w:t>pakendis</w:t>
      </w:r>
      <w:r w:rsidR="00302BA4" w:rsidRPr="00733111">
        <w:t>, kui on tegemist</w:t>
      </w:r>
      <w:r w:rsidR="0014370A">
        <w:t xml:space="preserve"> näiteks</w:t>
      </w:r>
      <w:r w:rsidR="00302BA4" w:rsidRPr="00733111">
        <w:t xml:space="preserve"> söödamaterjali</w:t>
      </w:r>
      <w:r w:rsidR="00E31524" w:rsidRPr="00733111">
        <w:t>ga või</w:t>
      </w:r>
      <w:r w:rsidR="00BA1815" w:rsidRPr="00733111">
        <w:t xml:space="preserve"> segasöödaga</w:t>
      </w:r>
      <w:r w:rsidR="00302BA4" w:rsidRPr="00733111">
        <w:t>, mis koosneb üksnes teraviljasegust</w:t>
      </w:r>
      <w:r w:rsidR="00AB4FC2">
        <w:t>,</w:t>
      </w:r>
      <w:r w:rsidR="00302BA4" w:rsidRPr="00733111">
        <w:t xml:space="preserve"> või </w:t>
      </w:r>
      <w:r w:rsidR="00F21DF0">
        <w:t xml:space="preserve">suletud pakendist võetud kuni 50 kg kaaluva </w:t>
      </w:r>
      <w:r w:rsidR="00A2273D">
        <w:t>segasöödaga</w:t>
      </w:r>
      <w:r w:rsidR="00F21DF0">
        <w:t>, mis on ette nähtud</w:t>
      </w:r>
      <w:r w:rsidR="00A2273D">
        <w:t xml:space="preserve"> </w:t>
      </w:r>
      <w:r w:rsidR="005C043E" w:rsidRPr="00E31524">
        <w:t>lõppkasutajale</w:t>
      </w:r>
      <w:r w:rsidR="00F21DF0">
        <w:t>.</w:t>
      </w:r>
      <w:r w:rsidR="0014370A">
        <w:t xml:space="preserve"> </w:t>
      </w:r>
      <w:r w:rsidR="00A8590F">
        <w:t>N</w:t>
      </w:r>
      <w:r w:rsidR="00A8590F" w:rsidRPr="00733111">
        <w:t xml:space="preserve">õuetekohaselt sulgemata </w:t>
      </w:r>
      <w:r w:rsidR="00A8590F">
        <w:t xml:space="preserve">pakendis </w:t>
      </w:r>
      <w:r w:rsidR="00A8590F" w:rsidRPr="00733111">
        <w:t>või lahtiselt</w:t>
      </w:r>
      <w:r w:rsidR="00A8590F">
        <w:t xml:space="preserve"> </w:t>
      </w:r>
      <w:r w:rsidR="00647F1B">
        <w:t xml:space="preserve">turustatavale söödamaterjalile või segasöödale lisatakse dokument, mis sisaldab kõiki määruse </w:t>
      </w:r>
      <w:r>
        <w:t xml:space="preserve">(EÜ) nr 767/2009 </w:t>
      </w:r>
      <w:r w:rsidR="00647F1B">
        <w:t>alusel nõutud kohustuslikke märgistusandmeid.</w:t>
      </w:r>
      <w:r w:rsidRPr="008A141D">
        <w:t xml:space="preserve"> </w:t>
      </w:r>
    </w:p>
    <w:p w14:paraId="51D8CA19" w14:textId="77777777" w:rsidR="002B0E48" w:rsidRDefault="002B0E48" w:rsidP="0096022A">
      <w:pPr>
        <w:jc w:val="both"/>
      </w:pPr>
    </w:p>
    <w:p w14:paraId="04CDFA53" w14:textId="77777777" w:rsidR="002B0E48" w:rsidRDefault="005C043E" w:rsidP="0096022A">
      <w:pPr>
        <w:jc w:val="both"/>
      </w:pPr>
      <w:r>
        <w:t>Selguse huvides on e</w:t>
      </w:r>
      <w:r w:rsidR="002B0E48">
        <w:t xml:space="preserve">raldi tegevusalana </w:t>
      </w:r>
      <w:r w:rsidR="003B70AB">
        <w:t xml:space="preserve">esitatud </w:t>
      </w:r>
      <w:r w:rsidR="002B0E48">
        <w:t xml:space="preserve">sööda pakendamisteenus. </w:t>
      </w:r>
      <w:r w:rsidR="002B1724">
        <w:t>Tegemist on sööda käitlejatega, kelle ettevõttes osutatakse üksnes pakendamiste</w:t>
      </w:r>
      <w:r w:rsidR="00425D71">
        <w:t xml:space="preserve">enust ja </w:t>
      </w:r>
      <w:r w:rsidR="00561A8E">
        <w:t xml:space="preserve">kes ise </w:t>
      </w:r>
      <w:r w:rsidR="00425D71">
        <w:t>sööta turule ei vii.</w:t>
      </w:r>
    </w:p>
    <w:p w14:paraId="6D090270" w14:textId="77777777" w:rsidR="00425D71" w:rsidRDefault="00425D71" w:rsidP="0096022A">
      <w:pPr>
        <w:jc w:val="both"/>
      </w:pPr>
    </w:p>
    <w:p w14:paraId="0DAF7D0C" w14:textId="77777777" w:rsidR="005C043E" w:rsidDel="00270A68" w:rsidRDefault="005C043E" w:rsidP="005C043E">
      <w:pPr>
        <w:jc w:val="both"/>
        <w:rPr>
          <w:lang w:eastAsia="et-EE"/>
        </w:rPr>
      </w:pPr>
      <w:r>
        <w:t>Sööda pakendamisega seotud k</w:t>
      </w:r>
      <w:r w:rsidDel="00270A68">
        <w:t>avandatav</w:t>
      </w:r>
      <w:r>
        <w:t>ad</w:t>
      </w:r>
      <w:r w:rsidDel="00270A68">
        <w:t xml:space="preserve"> muudatus</w:t>
      </w:r>
      <w:r>
        <w:t>ed</w:t>
      </w:r>
      <w:r w:rsidDel="00270A68">
        <w:t xml:space="preserve"> puuduta</w:t>
      </w:r>
      <w:r>
        <w:t>vad</w:t>
      </w:r>
      <w:r w:rsidDel="00270A68">
        <w:t xml:space="preserve"> isikuid, kes </w:t>
      </w:r>
      <w:r w:rsidR="00E4785D">
        <w:t xml:space="preserve">on </w:t>
      </w:r>
      <w:r w:rsidDel="00270A68">
        <w:t xml:space="preserve">juba PTA-le majandustegevusteate esitanud </w:t>
      </w:r>
      <w:r w:rsidR="00BC0939">
        <w:t xml:space="preserve">ega pea </w:t>
      </w:r>
      <w:r w:rsidDel="00270A68">
        <w:t>uut teadet esitama.</w:t>
      </w:r>
    </w:p>
    <w:p w14:paraId="205D00AA" w14:textId="77777777" w:rsidR="002B1724" w:rsidRDefault="002B1724" w:rsidP="002B1724">
      <w:pPr>
        <w:jc w:val="both"/>
        <w:rPr>
          <w:highlight w:val="yellow"/>
        </w:rPr>
      </w:pPr>
    </w:p>
    <w:p w14:paraId="2AEF424A" w14:textId="77777777" w:rsidR="00302BA4" w:rsidRDefault="00C769A0" w:rsidP="0096022A">
      <w:pPr>
        <w:jc w:val="both"/>
        <w:rPr>
          <w:lang w:eastAsia="et-EE"/>
        </w:rPr>
      </w:pPr>
      <w:r>
        <w:t xml:space="preserve">Kehtiva lisa 1 tabeli osas 2 on </w:t>
      </w:r>
      <w:r w:rsidR="00D55E13">
        <w:t>sätestatud</w:t>
      </w:r>
      <w:r>
        <w:t xml:space="preserve"> eraldi </w:t>
      </w:r>
      <w:r w:rsidR="00D55E13">
        <w:t xml:space="preserve">tegevusaladena </w:t>
      </w:r>
      <w:r>
        <w:t xml:space="preserve">töödeldud </w:t>
      </w:r>
      <w:r w:rsidR="00D55E13">
        <w:t xml:space="preserve">lemmikloomatoidu ja töötlemata lemmikloomatoidu tootmine turuleviimiseks, </w:t>
      </w:r>
      <w:r w:rsidR="00691F2A">
        <w:t xml:space="preserve">nende </w:t>
      </w:r>
      <w:r w:rsidR="00D55E13">
        <w:t>turuleviimine, ladustamine ja vedu. Eelnõuga kavandatava täpsustuse kohaselt on tegevusala</w:t>
      </w:r>
      <w:r w:rsidR="00BC0939">
        <w:t>de</w:t>
      </w:r>
      <w:r w:rsidR="00D55E13">
        <w:t xml:space="preserve">ks lemmikloomatoidu </w:t>
      </w:r>
      <w:r w:rsidR="00D55E13">
        <w:rPr>
          <w:lang w:eastAsia="et-EE"/>
        </w:rPr>
        <w:t>tootmine</w:t>
      </w:r>
      <w:r w:rsidR="00D55E13">
        <w:t xml:space="preserve"> turuleviimiseks</w:t>
      </w:r>
      <w:r w:rsidR="007D359B">
        <w:t>,</w:t>
      </w:r>
      <w:r w:rsidR="00D55E13">
        <w:t xml:space="preserve"> kasutades söödalisandeid või nende eelsegusid, </w:t>
      </w:r>
      <w:r w:rsidR="00E62E62">
        <w:t xml:space="preserve">lemmikloomatoidu </w:t>
      </w:r>
      <w:r w:rsidR="00D55E13">
        <w:rPr>
          <w:lang w:eastAsia="et-EE"/>
        </w:rPr>
        <w:t>tootmine</w:t>
      </w:r>
      <w:r w:rsidR="00D55E13">
        <w:t xml:space="preserve"> turuleviimiseks</w:t>
      </w:r>
      <w:r w:rsidR="00BD79D0">
        <w:t>,</w:t>
      </w:r>
      <w:r w:rsidR="00D55E13">
        <w:t xml:space="preserve"> kasutamata söödalisandeid või nende eelsegusid</w:t>
      </w:r>
      <w:r w:rsidR="00BC0939">
        <w:t xml:space="preserve"> ja lemmikloomatoidu</w:t>
      </w:r>
      <w:r w:rsidR="00DC5DDE">
        <w:t xml:space="preserve"> </w:t>
      </w:r>
      <w:r w:rsidR="00D55E13">
        <w:t xml:space="preserve">ladustamine </w:t>
      </w:r>
      <w:r w:rsidR="004270A2">
        <w:t>või</w:t>
      </w:r>
      <w:r w:rsidR="00D55E13">
        <w:t xml:space="preserve"> vedu.</w:t>
      </w:r>
      <w:r w:rsidR="005E160C">
        <w:t xml:space="preserve"> </w:t>
      </w:r>
      <w:r w:rsidR="008841DB">
        <w:t>Kehtiva sõnastuse täpsustamine on vajalik, sest t</w:t>
      </w:r>
      <w:r w:rsidR="005E160C">
        <w:t xml:space="preserve">öötlemata lemmikloomatoit ja töödeldud lemmikloomatoit on reguleeritud </w:t>
      </w:r>
      <w:r w:rsidR="005E160C" w:rsidRPr="004270A2">
        <w:t xml:space="preserve">määrustega </w:t>
      </w:r>
      <w:r w:rsidR="005E160C" w:rsidRPr="004270A2">
        <w:rPr>
          <w:lang w:eastAsia="et-EE"/>
        </w:rPr>
        <w:t>(EÜ) nr 1069/2009</w:t>
      </w:r>
      <w:r w:rsidR="005E160C" w:rsidRPr="004270A2">
        <w:rPr>
          <w:rStyle w:val="FootnoteReference"/>
          <w:lang w:eastAsia="et-EE"/>
        </w:rPr>
        <w:footnoteReference w:id="6"/>
      </w:r>
      <w:r w:rsidR="005E160C" w:rsidRPr="004270A2">
        <w:rPr>
          <w:lang w:eastAsia="et-EE"/>
        </w:rPr>
        <w:t xml:space="preserve"> ja (EL) nr 142/2011</w:t>
      </w:r>
      <w:r w:rsidR="005E160C" w:rsidRPr="004270A2">
        <w:rPr>
          <w:rStyle w:val="FootnoteReference"/>
          <w:lang w:eastAsia="et-EE"/>
        </w:rPr>
        <w:footnoteReference w:id="7"/>
      </w:r>
      <w:r w:rsidR="0014370A">
        <w:rPr>
          <w:lang w:eastAsia="et-EE"/>
        </w:rPr>
        <w:t xml:space="preserve"> </w:t>
      </w:r>
      <w:r w:rsidR="009219FE">
        <w:rPr>
          <w:lang w:eastAsia="et-EE"/>
        </w:rPr>
        <w:t>ning</w:t>
      </w:r>
      <w:r w:rsidR="0014370A">
        <w:rPr>
          <w:lang w:eastAsia="et-EE"/>
        </w:rPr>
        <w:t xml:space="preserve"> kuuluvad veterinaarseaduse</w:t>
      </w:r>
      <w:r w:rsidR="00BC0939">
        <w:rPr>
          <w:lang w:eastAsia="et-EE"/>
        </w:rPr>
        <w:t xml:space="preserve"> kohaselt </w:t>
      </w:r>
      <w:r w:rsidR="004270A2">
        <w:rPr>
          <w:lang w:eastAsia="et-EE"/>
        </w:rPr>
        <w:t>veterinaarjärelevalve alla.</w:t>
      </w:r>
      <w:r w:rsidR="008841DB">
        <w:rPr>
          <w:lang w:eastAsia="et-EE"/>
        </w:rPr>
        <w:t xml:space="preserve"> Juhul, kui ettevõttes tegeletakse näiteks l</w:t>
      </w:r>
      <w:r w:rsidR="008841DB">
        <w:t xml:space="preserve">emmikloomatoidu </w:t>
      </w:r>
      <w:r w:rsidR="008841DB">
        <w:rPr>
          <w:lang w:eastAsia="et-EE"/>
        </w:rPr>
        <w:t>tootmisega</w:t>
      </w:r>
      <w:r w:rsidR="008841DB">
        <w:t xml:space="preserve"> turuleviimiseks</w:t>
      </w:r>
      <w:r w:rsidR="00EA2D5B">
        <w:t>,</w:t>
      </w:r>
      <w:r w:rsidR="008841DB">
        <w:t xml:space="preserve"> kasutades söödalisandeid või nende eelsegusid, </w:t>
      </w:r>
      <w:r w:rsidR="008C264B">
        <w:rPr>
          <w:shd w:val="clear" w:color="auto" w:fill="FFFFFF"/>
        </w:rPr>
        <w:t xml:space="preserve">tuleb järgida </w:t>
      </w:r>
      <w:r w:rsidR="008C264B">
        <w:t xml:space="preserve">määruse (EÜ) nr 183/2005 II lisas sätestatud </w:t>
      </w:r>
      <w:r w:rsidR="008C264B">
        <w:lastRenderedPageBreak/>
        <w:t>nõudeid. Selline lemmikloomatoidu tootmine kuulub söödajärelevalve alla.</w:t>
      </w:r>
      <w:r w:rsidR="004E2CAC">
        <w:t xml:space="preserve"> Kavandatav muudatus puudutab isikuid, kes </w:t>
      </w:r>
      <w:r w:rsidR="00D813FD">
        <w:t xml:space="preserve">on </w:t>
      </w:r>
      <w:r w:rsidR="004E2CAC">
        <w:t xml:space="preserve">juba </w:t>
      </w:r>
      <w:r w:rsidR="00183209">
        <w:t xml:space="preserve">PTA-le majandustegevusteate esitanud </w:t>
      </w:r>
      <w:r w:rsidR="00FB7510">
        <w:t xml:space="preserve">ega pea </w:t>
      </w:r>
      <w:r w:rsidR="00183209">
        <w:t>uut teadet esitama.</w:t>
      </w:r>
    </w:p>
    <w:p w14:paraId="37CEE421" w14:textId="77777777" w:rsidR="008841DB" w:rsidRDefault="008841DB" w:rsidP="0096022A">
      <w:pPr>
        <w:jc w:val="both"/>
      </w:pPr>
    </w:p>
    <w:p w14:paraId="17129843" w14:textId="77777777" w:rsidR="0096022A" w:rsidRDefault="0096022A" w:rsidP="0096022A">
      <w:pPr>
        <w:jc w:val="both"/>
      </w:pPr>
      <w:r>
        <w:t>K</w:t>
      </w:r>
      <w:r w:rsidR="004875D9">
        <w:t>õikide eespool k</w:t>
      </w:r>
      <w:r>
        <w:t xml:space="preserve">irjeldatud tegevusalade täpsustamise eesmärk on tõhustada sööda, söödakäitlemise ja söötmise ametlikku kontrolli ning tagada sööda ohutus. Samuti on kavandatav muudatus seotud söödaohutuse tervikteenuse III fookusteema </w:t>
      </w:r>
      <w:r w:rsidRPr="00891793">
        <w:t>parendus</w:t>
      </w:r>
      <w:r>
        <w:t>ettepanekutega söödakä</w:t>
      </w:r>
      <w:r w:rsidR="001D3274">
        <w:t>i</w:t>
      </w:r>
      <w:r>
        <w:t xml:space="preserve">tlemisettevõtte riskitaseme hindamise kohta. </w:t>
      </w:r>
    </w:p>
    <w:p w14:paraId="3F6806C0" w14:textId="77777777" w:rsidR="00653F95" w:rsidRDefault="00653F95" w:rsidP="00653F95">
      <w:pPr>
        <w:jc w:val="both"/>
      </w:pPr>
    </w:p>
    <w:p w14:paraId="14D7C75F" w14:textId="77777777" w:rsidR="00653F95" w:rsidRDefault="00425D71" w:rsidP="00653F95">
      <w:pPr>
        <w:jc w:val="both"/>
      </w:pPr>
      <w:r w:rsidRPr="008721EA">
        <w:rPr>
          <w:b/>
        </w:rPr>
        <w:t>1.</w:t>
      </w:r>
      <w:r w:rsidR="00420939" w:rsidRPr="008721EA">
        <w:rPr>
          <w:b/>
        </w:rPr>
        <w:t>3.</w:t>
      </w:r>
      <w:r w:rsidR="00420939" w:rsidRPr="008721EA">
        <w:t xml:space="preserve"> </w:t>
      </w:r>
      <w:r w:rsidR="00420939" w:rsidRPr="007948DD">
        <w:rPr>
          <w:b/>
        </w:rPr>
        <w:t>Tabeli osas 3</w:t>
      </w:r>
      <w:r w:rsidR="00426AAF" w:rsidRPr="007948DD">
        <w:rPr>
          <w:b/>
        </w:rPr>
        <w:t xml:space="preserve"> </w:t>
      </w:r>
      <w:r w:rsidR="00426AAF" w:rsidRPr="008721EA">
        <w:t>,,Tegevusala, millega tegelemise korral täidetakse Euroopa Parlamendi ja nõukogu määruse (EÜ) nr 183/2005 III lisa nõudeid</w:t>
      </w:r>
      <w:r w:rsidR="00426AAF" w:rsidRPr="008721EA">
        <w:rPr>
          <w:bCs/>
        </w:rPr>
        <w:t>”</w:t>
      </w:r>
      <w:r w:rsidR="0042316B" w:rsidRPr="008721EA">
        <w:rPr>
          <w:bCs/>
        </w:rPr>
        <w:t xml:space="preserve"> täpsustatakse tegevusala </w:t>
      </w:r>
      <w:r w:rsidR="00DE2EAB">
        <w:rPr>
          <w:bCs/>
        </w:rPr>
        <w:t>„</w:t>
      </w:r>
      <w:r w:rsidR="0042316B" w:rsidRPr="008721EA">
        <w:rPr>
          <w:lang w:eastAsia="et-EE"/>
        </w:rPr>
        <w:t>t</w:t>
      </w:r>
      <w:r w:rsidR="0042316B" w:rsidRPr="008721EA">
        <w:t>urustamisotstarbelise loomse toidu saamiseks peetava looma söötmine</w:t>
      </w:r>
      <w:r w:rsidR="000859A3" w:rsidRPr="008721EA">
        <w:rPr>
          <w:bCs/>
        </w:rPr>
        <w:t>”</w:t>
      </w:r>
      <w:r w:rsidR="0042316B" w:rsidRPr="008721EA">
        <w:t xml:space="preserve"> uue selgitava märkusega. Lisatud märkuse kohaselt täidetakse </w:t>
      </w:r>
      <w:r w:rsidR="0029227E" w:rsidRPr="008721EA">
        <w:t xml:space="preserve">ravimsööda loomale söötmise korral </w:t>
      </w:r>
      <w:r w:rsidR="0042316B" w:rsidRPr="008721EA">
        <w:t>lisaks määruse (EÜ) nr</w:t>
      </w:r>
      <w:r w:rsidR="005B3CF9">
        <w:t> </w:t>
      </w:r>
      <w:r w:rsidR="0042316B" w:rsidRPr="008721EA">
        <w:t xml:space="preserve">183/2005 III lisas sätestatud nõuetele </w:t>
      </w:r>
      <w:r w:rsidR="0029227E">
        <w:t xml:space="preserve">ka </w:t>
      </w:r>
      <w:r w:rsidR="00296952" w:rsidRPr="008721EA">
        <w:t xml:space="preserve">määruse </w:t>
      </w:r>
      <w:r w:rsidR="0042316B" w:rsidRPr="008721EA">
        <w:t>(EL) 2019/4 artiklis 17 ja I lisa 5 jaos sätestatud nõudeid</w:t>
      </w:r>
      <w:r w:rsidR="00296952" w:rsidRPr="008721EA">
        <w:t>. Kavandatav muudatus on seotud määruse (EL) 2019/4 rakendamisega.</w:t>
      </w:r>
    </w:p>
    <w:p w14:paraId="35085643" w14:textId="77777777" w:rsidR="00296952" w:rsidRDefault="00296952" w:rsidP="000E33E3">
      <w:pPr>
        <w:tabs>
          <w:tab w:val="left" w:pos="4050"/>
        </w:tabs>
        <w:jc w:val="both"/>
      </w:pPr>
    </w:p>
    <w:p w14:paraId="1BE21E83" w14:textId="77777777" w:rsidR="002A671E" w:rsidRDefault="00425D71" w:rsidP="004E2CAC">
      <w:pPr>
        <w:jc w:val="both"/>
      </w:pPr>
      <w:r>
        <w:rPr>
          <w:b/>
          <w:lang w:eastAsia="et-EE"/>
        </w:rPr>
        <w:t>1.</w:t>
      </w:r>
      <w:r w:rsidRPr="00425D71">
        <w:rPr>
          <w:b/>
          <w:lang w:eastAsia="et-EE"/>
        </w:rPr>
        <w:t>4.</w:t>
      </w:r>
      <w:r>
        <w:rPr>
          <w:lang w:eastAsia="et-EE"/>
        </w:rPr>
        <w:t xml:space="preserve"> </w:t>
      </w:r>
      <w:r w:rsidR="00296952">
        <w:rPr>
          <w:lang w:eastAsia="et-EE"/>
        </w:rPr>
        <w:t xml:space="preserve">Lisaks eespool kirjeldatule </w:t>
      </w:r>
      <w:r w:rsidR="00296952">
        <w:t xml:space="preserve">täiendatakse kehtiva lisa 1 tabelit </w:t>
      </w:r>
      <w:r w:rsidR="00296952" w:rsidRPr="007948DD">
        <w:rPr>
          <w:b/>
        </w:rPr>
        <w:t>uue osaga 4</w:t>
      </w:r>
      <w:r w:rsidR="00296952">
        <w:t xml:space="preserve"> ,,</w:t>
      </w:r>
      <w:r w:rsidR="00296952" w:rsidRPr="00296952">
        <w:t>Tegevusala, millega tegelemise korral täidetakse Euroopa Parlamendi ja nõukogu määruse (EL) 2019/4 nõudeid</w:t>
      </w:r>
      <w:r w:rsidR="00296952">
        <w:rPr>
          <w:bCs/>
        </w:rPr>
        <w:t>”.</w:t>
      </w:r>
      <w:r w:rsidR="00296952" w:rsidRPr="00296952">
        <w:t xml:space="preserve"> </w:t>
      </w:r>
      <w:r w:rsidR="004E2CAC">
        <w:t xml:space="preserve">Uute tegevusaladena sätestatakse </w:t>
      </w:r>
      <w:r w:rsidR="002A671E">
        <w:t>:</w:t>
      </w:r>
    </w:p>
    <w:p w14:paraId="4CB936B8" w14:textId="23A9280E" w:rsidR="000859A3" w:rsidRDefault="002A671E" w:rsidP="000859A3">
      <w:pPr>
        <w:ind w:firstLine="567"/>
        <w:jc w:val="both"/>
      </w:pPr>
      <w:r>
        <w:t xml:space="preserve">1) </w:t>
      </w:r>
      <w:r w:rsidR="00CC30D3">
        <w:rPr>
          <w:rStyle w:val="tekst4"/>
        </w:rPr>
        <w:t xml:space="preserve">lemmikloomale ette nähtud ravimsööda müümine </w:t>
      </w:r>
      <w:r w:rsidR="00CC30D3" w:rsidRPr="00615BE9">
        <w:rPr>
          <w:rStyle w:val="tekst4"/>
        </w:rPr>
        <w:t xml:space="preserve">jaekaubanduses, sealhulgas sidevahendite kaudu, </w:t>
      </w:r>
      <w:r w:rsidR="00B9214D">
        <w:rPr>
          <w:rStyle w:val="tekst4"/>
        </w:rPr>
        <w:t xml:space="preserve">eelnevalt mainitud </w:t>
      </w:r>
      <w:r w:rsidR="00947482">
        <w:rPr>
          <w:rStyle w:val="tekst4"/>
        </w:rPr>
        <w:t>müümisega</w:t>
      </w:r>
      <w:r w:rsidR="00DE2EAB">
        <w:rPr>
          <w:rStyle w:val="tekst4"/>
        </w:rPr>
        <w:t xml:space="preserve"> </w:t>
      </w:r>
      <w:r w:rsidR="00CC30D3" w:rsidRPr="00615BE9">
        <w:rPr>
          <w:rStyle w:val="tekst4"/>
        </w:rPr>
        <w:t>tegelemise korral tuleb täita</w:t>
      </w:r>
      <w:r w:rsidR="00CC30D3" w:rsidRPr="00615BE9">
        <w:t xml:space="preserve"> määruse (EL) 2019/4 I lisas sätestatud nõudeid</w:t>
      </w:r>
      <w:r w:rsidR="00764CF8">
        <w:t>;</w:t>
      </w:r>
    </w:p>
    <w:p w14:paraId="78751458" w14:textId="00F882D3" w:rsidR="000859A3" w:rsidRDefault="000859A3" w:rsidP="000859A3">
      <w:pPr>
        <w:ind w:firstLine="567"/>
        <w:jc w:val="both"/>
      </w:pPr>
      <w:r>
        <w:t>2)</w:t>
      </w:r>
      <w:r w:rsidR="006F0C61">
        <w:t xml:space="preserve"> </w:t>
      </w:r>
      <w:r w:rsidR="004E2CAC" w:rsidRPr="00615BE9">
        <w:rPr>
          <w:rStyle w:val="tekst4"/>
        </w:rPr>
        <w:t>karusloomale ette nähtud ravimsööda söötmine, millega tegelemise</w:t>
      </w:r>
      <w:r w:rsidR="00425D71" w:rsidRPr="00615BE9">
        <w:rPr>
          <w:rStyle w:val="tekst4"/>
        </w:rPr>
        <w:t xml:space="preserve"> korra</w:t>
      </w:r>
      <w:r w:rsidR="004E2CAC" w:rsidRPr="00615BE9">
        <w:rPr>
          <w:rStyle w:val="tekst4"/>
        </w:rPr>
        <w:t xml:space="preserve">l tuleb täita </w:t>
      </w:r>
      <w:r w:rsidR="004E2CAC" w:rsidRPr="00615BE9">
        <w:t>määruse (EL) 2019/4 artiklis</w:t>
      </w:r>
      <w:r w:rsidR="001B3A7F">
        <w:t> </w:t>
      </w:r>
      <w:r w:rsidR="004E2CAC" w:rsidRPr="00615BE9">
        <w:t>17 sätestatud nõudeid</w:t>
      </w:r>
      <w:r w:rsidR="00D13BFF">
        <w:t>;</w:t>
      </w:r>
    </w:p>
    <w:p w14:paraId="3E9A7C90" w14:textId="747328FE" w:rsidR="000859A3" w:rsidRDefault="000859A3" w:rsidP="000859A3">
      <w:pPr>
        <w:ind w:firstLine="567"/>
        <w:jc w:val="both"/>
      </w:pPr>
      <w:r>
        <w:t>3)</w:t>
      </w:r>
      <w:r w:rsidR="006F0C61">
        <w:t xml:space="preserve"> </w:t>
      </w:r>
      <w:r w:rsidR="004E2CAC" w:rsidRPr="00615BE9">
        <w:t xml:space="preserve">ning karusloomale ette nähtud ravimsööda </w:t>
      </w:r>
      <w:r w:rsidR="004E2CAC" w:rsidRPr="00615BE9">
        <w:rPr>
          <w:rStyle w:val="tekst4"/>
        </w:rPr>
        <w:t>vedu või ladustamine</w:t>
      </w:r>
      <w:r w:rsidR="004E2CAC">
        <w:rPr>
          <w:rStyle w:val="NumberingSymbols"/>
        </w:rPr>
        <w:t xml:space="preserve"> </w:t>
      </w:r>
      <w:r w:rsidR="004E2CAC">
        <w:rPr>
          <w:rStyle w:val="tekst4"/>
        </w:rPr>
        <w:t>oma ettevõttes loomale söötmiseks,</w:t>
      </w:r>
      <w:r w:rsidR="004E2CAC" w:rsidRPr="004E2CAC">
        <w:rPr>
          <w:rStyle w:val="tekst4"/>
        </w:rPr>
        <w:t xml:space="preserve"> </w:t>
      </w:r>
      <w:r w:rsidR="004E2CAC">
        <w:rPr>
          <w:rStyle w:val="tekst4"/>
        </w:rPr>
        <w:t>millega tegelemise</w:t>
      </w:r>
      <w:r w:rsidR="00425D71">
        <w:rPr>
          <w:rStyle w:val="tekst4"/>
        </w:rPr>
        <w:t xml:space="preserve"> korra</w:t>
      </w:r>
      <w:r w:rsidR="004E2CAC">
        <w:rPr>
          <w:rStyle w:val="tekst4"/>
        </w:rPr>
        <w:t xml:space="preserve">l tuleb täita </w:t>
      </w:r>
      <w:r w:rsidR="004E2CAC" w:rsidRPr="004E2CAC">
        <w:t>määruse (EL) 2019/4 I</w:t>
      </w:r>
      <w:r w:rsidR="00D13BFF">
        <w:t> </w:t>
      </w:r>
      <w:r w:rsidR="004E2CAC" w:rsidRPr="004E2CAC">
        <w:t>lisa 5 jaos sätestatud nõudeid.</w:t>
      </w:r>
      <w:r w:rsidR="004E2CAC">
        <w:t xml:space="preserve"> </w:t>
      </w:r>
    </w:p>
    <w:p w14:paraId="47A97F3F" w14:textId="77777777" w:rsidR="000859A3" w:rsidRDefault="000859A3" w:rsidP="004E2CAC">
      <w:pPr>
        <w:jc w:val="both"/>
      </w:pPr>
    </w:p>
    <w:p w14:paraId="4C83730C" w14:textId="31E9E140" w:rsidR="004E2CAC" w:rsidRPr="006D23C3" w:rsidRDefault="000859A3" w:rsidP="004E2CAC">
      <w:pPr>
        <w:jc w:val="both"/>
      </w:pPr>
      <w:r>
        <w:t xml:space="preserve">Eespool </w:t>
      </w:r>
      <w:r>
        <w:rPr>
          <w:lang w:eastAsia="et-EE"/>
        </w:rPr>
        <w:t>n</w:t>
      </w:r>
      <w:r w:rsidR="004E2CAC">
        <w:rPr>
          <w:lang w:eastAsia="et-EE"/>
        </w:rPr>
        <w:t>imetatud tegevusaladega tegelemiseks tuleb sööda käitlejal esitada PTA-le majandustegevusteade.</w:t>
      </w:r>
    </w:p>
    <w:p w14:paraId="69E1610F" w14:textId="77777777" w:rsidR="00296952" w:rsidRDefault="00296952" w:rsidP="004E2CAC">
      <w:pPr>
        <w:jc w:val="both"/>
      </w:pPr>
    </w:p>
    <w:p w14:paraId="06556427" w14:textId="77777777" w:rsidR="00296952" w:rsidRDefault="00296952" w:rsidP="00296952">
      <w:pPr>
        <w:jc w:val="both"/>
        <w:rPr>
          <w:lang w:eastAsia="et-EE"/>
        </w:rPr>
      </w:pPr>
      <w:r>
        <w:t>Kavandatav muudatus on seotud määruse (EL) 2019/4 artikli 13 lõike 5 rakendamisega.</w:t>
      </w:r>
    </w:p>
    <w:p w14:paraId="14EFEEA2" w14:textId="77777777" w:rsidR="00296952" w:rsidRPr="0042316B" w:rsidRDefault="00296952" w:rsidP="00653F95">
      <w:pPr>
        <w:jc w:val="both"/>
      </w:pPr>
    </w:p>
    <w:p w14:paraId="53A274BF" w14:textId="77777777" w:rsidR="00425D71" w:rsidRPr="00425D71" w:rsidRDefault="00425D71" w:rsidP="00425D71">
      <w:pPr>
        <w:jc w:val="both"/>
      </w:pPr>
      <w:r w:rsidRPr="00885540">
        <w:rPr>
          <w:b/>
        </w:rPr>
        <w:t>2.</w:t>
      </w:r>
      <w:r w:rsidRPr="00425D71">
        <w:t xml:space="preserve"> Põllumajandusministri määruse nr 31 lisa 2 tabelis </w:t>
      </w:r>
      <w:r w:rsidR="00845775">
        <w:t>täpsustatakse tegevusalasid, mis on seotud segasööda tootmisega ning ravimsööda tootmise ja turuleviimisega.</w:t>
      </w:r>
    </w:p>
    <w:p w14:paraId="1A65B08F" w14:textId="77777777" w:rsidR="00653F95" w:rsidRPr="00425D71" w:rsidRDefault="00653F95" w:rsidP="00653F95">
      <w:pPr>
        <w:jc w:val="both"/>
        <w:rPr>
          <w:lang w:eastAsia="et-EE"/>
        </w:rPr>
      </w:pPr>
    </w:p>
    <w:p w14:paraId="4A332A60" w14:textId="77777777" w:rsidR="00653F95" w:rsidRDefault="00845775" w:rsidP="00653F95">
      <w:pPr>
        <w:jc w:val="both"/>
        <w:rPr>
          <w:lang w:eastAsia="et-EE"/>
        </w:rPr>
      </w:pPr>
      <w:r w:rsidRPr="00BD7015">
        <w:rPr>
          <w:b/>
          <w:lang w:eastAsia="et-EE"/>
        </w:rPr>
        <w:t>2.1.</w:t>
      </w:r>
      <w:r w:rsidRPr="00BD7015">
        <w:rPr>
          <w:lang w:eastAsia="et-EE"/>
        </w:rPr>
        <w:t xml:space="preserve"> </w:t>
      </w:r>
      <w:r w:rsidRPr="000A1CE0">
        <w:rPr>
          <w:lang w:eastAsia="et-EE"/>
        </w:rPr>
        <w:t xml:space="preserve">Tabeli </w:t>
      </w:r>
      <w:r w:rsidR="001C0BBA" w:rsidRPr="000A1CE0">
        <w:rPr>
          <w:lang w:eastAsia="et-EE"/>
        </w:rPr>
        <w:t>punktis 2</w:t>
      </w:r>
      <w:r w:rsidR="00BD7015" w:rsidRPr="000A1CE0">
        <w:rPr>
          <w:lang w:eastAsia="et-EE"/>
        </w:rPr>
        <w:t xml:space="preserve"> sätestatakse segasööda tootmisega seotud tegevusalad, millega tegelemise korral peab sööda käitlejal olema tegevusluba</w:t>
      </w:r>
      <w:r w:rsidR="00BD7015" w:rsidRPr="00BD7015">
        <w:rPr>
          <w:lang w:eastAsia="et-EE"/>
        </w:rPr>
        <w:t xml:space="preserve">. </w:t>
      </w:r>
      <w:r w:rsidR="009A4E4A">
        <w:rPr>
          <w:lang w:eastAsia="et-EE"/>
        </w:rPr>
        <w:t xml:space="preserve">Kehtiva korra kohaselt peab sööda käitlejal olema tegevusluba, kui tema ettevõttes tegeletakse </w:t>
      </w:r>
      <w:r w:rsidR="005F4C57">
        <w:rPr>
          <w:lang w:eastAsia="et-EE"/>
        </w:rPr>
        <w:t>lubatud</w:t>
      </w:r>
      <w:r w:rsidR="009A4E4A">
        <w:rPr>
          <w:lang w:eastAsia="et-EE"/>
        </w:rPr>
        <w:t xml:space="preserve"> söödalisandeid või nende eelsegusid </w:t>
      </w:r>
      <w:r w:rsidR="005F4C57">
        <w:rPr>
          <w:lang w:eastAsia="et-EE"/>
        </w:rPr>
        <w:t xml:space="preserve">sisaldava sööda tootmisega </w:t>
      </w:r>
      <w:r w:rsidR="009A4E4A">
        <w:rPr>
          <w:lang w:eastAsia="et-EE"/>
        </w:rPr>
        <w:t xml:space="preserve">oma ettevõtte tarbeks või turuleviimiseks. </w:t>
      </w:r>
      <w:r w:rsidR="00BD7015" w:rsidRPr="00BD7015">
        <w:rPr>
          <w:lang w:eastAsia="et-EE"/>
        </w:rPr>
        <w:t xml:space="preserve">Eelnõuga kavandatu kohaselt </w:t>
      </w:r>
      <w:r w:rsidR="00337206">
        <w:rPr>
          <w:lang w:eastAsia="et-EE"/>
        </w:rPr>
        <w:t xml:space="preserve">peab </w:t>
      </w:r>
      <w:r w:rsidR="00BD7015" w:rsidRPr="007948DD">
        <w:rPr>
          <w:b/>
          <w:lang w:eastAsia="et-EE"/>
        </w:rPr>
        <w:t>sööda</w:t>
      </w:r>
      <w:r w:rsidR="00337206" w:rsidRPr="007948DD">
        <w:rPr>
          <w:b/>
          <w:lang w:eastAsia="et-EE"/>
        </w:rPr>
        <w:t xml:space="preserve"> </w:t>
      </w:r>
      <w:r w:rsidR="00BD7015" w:rsidRPr="007948DD">
        <w:rPr>
          <w:b/>
          <w:lang w:eastAsia="et-EE"/>
        </w:rPr>
        <w:t xml:space="preserve">käitlejal </w:t>
      </w:r>
      <w:r w:rsidR="009A4E4A" w:rsidRPr="007948DD">
        <w:rPr>
          <w:b/>
          <w:lang w:eastAsia="et-EE"/>
        </w:rPr>
        <w:t xml:space="preserve">olema </w:t>
      </w:r>
      <w:r w:rsidR="00BD7015" w:rsidRPr="007948DD">
        <w:rPr>
          <w:b/>
          <w:lang w:eastAsia="et-EE"/>
        </w:rPr>
        <w:t>tegevusluba</w:t>
      </w:r>
      <w:r w:rsidR="005F4C57" w:rsidRPr="007948DD">
        <w:rPr>
          <w:b/>
          <w:lang w:eastAsia="et-EE"/>
        </w:rPr>
        <w:t xml:space="preserve"> ka siis</w:t>
      </w:r>
      <w:r w:rsidR="00BD7015" w:rsidRPr="007948DD">
        <w:rPr>
          <w:b/>
          <w:lang w:eastAsia="et-EE"/>
        </w:rPr>
        <w:t xml:space="preserve">, kui tema ettevõttes </w:t>
      </w:r>
      <w:r w:rsidR="00337206" w:rsidRPr="007948DD">
        <w:rPr>
          <w:b/>
          <w:lang w:eastAsia="et-EE"/>
        </w:rPr>
        <w:t>tegeletakse</w:t>
      </w:r>
      <w:r w:rsidR="00BD7015" w:rsidRPr="007948DD">
        <w:rPr>
          <w:b/>
          <w:lang w:eastAsia="et-EE"/>
        </w:rPr>
        <w:t xml:space="preserve"> segasööda </w:t>
      </w:r>
      <w:r w:rsidR="00BD7015" w:rsidRPr="007948DD">
        <w:rPr>
          <w:b/>
        </w:rPr>
        <w:t>tootmisega selleks sp</w:t>
      </w:r>
      <w:r w:rsidR="00337206" w:rsidRPr="007948DD">
        <w:rPr>
          <w:b/>
        </w:rPr>
        <w:t>etsiaalselt seadmestatud veokis</w:t>
      </w:r>
      <w:r w:rsidR="003F12D4" w:rsidRPr="007948DD">
        <w:rPr>
          <w:b/>
        </w:rPr>
        <w:t>,</w:t>
      </w:r>
      <w:r w:rsidR="00BD7015" w:rsidRPr="007948DD">
        <w:rPr>
          <w:b/>
        </w:rPr>
        <w:t xml:space="preserve"> kasutades lubatud söödalisandeid või nende eelsegusid</w:t>
      </w:r>
      <w:r w:rsidR="00BD7015" w:rsidRPr="00BD7015">
        <w:rPr>
          <w:lang w:eastAsia="et-EE"/>
        </w:rPr>
        <w:t xml:space="preserve">. Lubatud söödalisanditeks on </w:t>
      </w:r>
      <w:r w:rsidR="00BD7015" w:rsidRPr="00BD7015">
        <w:rPr>
          <w:bCs/>
          <w:lang w:eastAsia="et-EE"/>
        </w:rPr>
        <w:t xml:space="preserve">söödalisand, mille kohta on antud luba </w:t>
      </w:r>
      <w:r w:rsidR="00BD7015" w:rsidRPr="00BD7015">
        <w:t>määruse (EÜ) nr 1831/2003 alusel ning mis on nimetatud sama määruse I lisa punkti</w:t>
      </w:r>
      <w:r w:rsidR="00D13BFF">
        <w:t> </w:t>
      </w:r>
      <w:r w:rsidR="00BD7015" w:rsidRPr="00BD7015">
        <w:t xml:space="preserve">4 alapunktis d („muud zootehnilised lisandid”), või </w:t>
      </w:r>
      <w:r w:rsidR="00891793">
        <w:t>sööda</w:t>
      </w:r>
      <w:r w:rsidR="00BD7015" w:rsidRPr="00BD7015">
        <w:t>lisand, mis kuulub kategooriasse „koktsidiostaatikumid ja histomonostaatikumid”</w:t>
      </w:r>
      <w:r w:rsidR="00235C14">
        <w:rPr>
          <w:lang w:eastAsia="et-EE"/>
        </w:rPr>
        <w:t>.</w:t>
      </w:r>
    </w:p>
    <w:p w14:paraId="27ED8935" w14:textId="77777777" w:rsidR="00235C14" w:rsidRDefault="00235C14" w:rsidP="00653F95">
      <w:pPr>
        <w:jc w:val="both"/>
        <w:rPr>
          <w:lang w:eastAsia="et-EE"/>
        </w:rPr>
      </w:pPr>
    </w:p>
    <w:p w14:paraId="5EB5720C" w14:textId="77777777" w:rsidR="00235C14" w:rsidRPr="00407D21" w:rsidRDefault="000A1CE0" w:rsidP="00653F95">
      <w:pPr>
        <w:jc w:val="both"/>
      </w:pPr>
      <w:r w:rsidRPr="00407D21">
        <w:t>S</w:t>
      </w:r>
      <w:r w:rsidR="00235C14" w:rsidRPr="00407D21">
        <w:t xml:space="preserve">petsiaalselt seadmestatud </w:t>
      </w:r>
      <w:r w:rsidR="005C72DD" w:rsidRPr="00407D21">
        <w:t xml:space="preserve">veoki puhul on tegemist liikuva segamisüksusega, millega osutatakse sööda segamisteenust erinevates põllumajandusettevõtetes. Kasutatav tehnika võimaldab enne sööda kokkusegamist </w:t>
      </w:r>
      <w:r w:rsidR="00764CF8" w:rsidRPr="00407D21">
        <w:t xml:space="preserve">teravilja </w:t>
      </w:r>
      <w:r w:rsidR="005C72DD" w:rsidRPr="00407D21">
        <w:t xml:space="preserve">jahvatada või muljuda </w:t>
      </w:r>
      <w:r w:rsidR="005C72DD" w:rsidRPr="00407D21">
        <w:rPr>
          <w:color w:val="333333"/>
          <w:shd w:val="clear" w:color="auto" w:fill="FFFFFF"/>
        </w:rPr>
        <w:t>ning seejärel</w:t>
      </w:r>
      <w:r w:rsidR="00407D21" w:rsidRPr="00407D21">
        <w:rPr>
          <w:color w:val="333333"/>
          <w:shd w:val="clear" w:color="auto" w:fill="FFFFFF"/>
        </w:rPr>
        <w:t xml:space="preserve"> sellele</w:t>
      </w:r>
      <w:r w:rsidR="005C72DD" w:rsidRPr="00407D21">
        <w:rPr>
          <w:color w:val="333333"/>
          <w:shd w:val="clear" w:color="auto" w:fill="FFFFFF"/>
        </w:rPr>
        <w:t xml:space="preserve"> lisada erinevaid sööda koostisosi, sealhulgas söödalisandeid või nende eelsegusid. </w:t>
      </w:r>
      <w:r w:rsidR="005C72DD" w:rsidRPr="00407D21">
        <w:t xml:space="preserve">Enamasti kasutatakse sööda segamisel teenuse tellija materjale ja segamisel lähtutakse tellija söödaretseptist. Erinevates põllumajandusettevõtetes segatav sööt võib olla erineva koostisega, mistõttu on sööda ristsaastumise võimalus suur. </w:t>
      </w:r>
    </w:p>
    <w:p w14:paraId="71E50E3F" w14:textId="77777777" w:rsidR="005C72DD" w:rsidRDefault="005C72DD" w:rsidP="00235C14">
      <w:pPr>
        <w:jc w:val="both"/>
      </w:pPr>
    </w:p>
    <w:p w14:paraId="7B60898F" w14:textId="77777777" w:rsidR="00235C14" w:rsidRDefault="00235C14" w:rsidP="00235C14">
      <w:pPr>
        <w:jc w:val="both"/>
      </w:pPr>
      <w:r>
        <w:t xml:space="preserve">Tegevusala täpsustamise eesmärk on tõhustada sööda, sööda käitlemise ja söötmise ametlikku kontrolli ning tagada sööda ohutus. Samuti on kavandatav muudatus seotud söödaohutuse tervikteenuse III fookusteema </w:t>
      </w:r>
      <w:r w:rsidRPr="00891793">
        <w:t>parendus</w:t>
      </w:r>
      <w:r>
        <w:t xml:space="preserve">ettepanekutega </w:t>
      </w:r>
      <w:r w:rsidR="001B3A7F">
        <w:t xml:space="preserve">söödakäitlemisettevõtte </w:t>
      </w:r>
      <w:r>
        <w:t xml:space="preserve">riskitaseme hindamise kohta. </w:t>
      </w:r>
    </w:p>
    <w:p w14:paraId="418A2AC3" w14:textId="77777777" w:rsidR="00235C14" w:rsidRPr="00BD7015" w:rsidRDefault="00235C14" w:rsidP="00653F95">
      <w:pPr>
        <w:jc w:val="both"/>
        <w:rPr>
          <w:lang w:eastAsia="et-EE"/>
        </w:rPr>
      </w:pPr>
    </w:p>
    <w:p w14:paraId="3537293C" w14:textId="3F7DFFC5" w:rsidR="00DA4F14" w:rsidRPr="00DA4F14" w:rsidRDefault="00F53FD4" w:rsidP="00DA4F14">
      <w:pPr>
        <w:jc w:val="both"/>
        <w:rPr>
          <w:bCs/>
        </w:rPr>
      </w:pPr>
      <w:r>
        <w:rPr>
          <w:b/>
          <w:lang w:eastAsia="et-EE"/>
        </w:rPr>
        <w:t>2.2.</w:t>
      </w:r>
      <w:r>
        <w:rPr>
          <w:lang w:eastAsia="et-EE"/>
        </w:rPr>
        <w:t xml:space="preserve"> </w:t>
      </w:r>
      <w:r w:rsidRPr="007948DD">
        <w:rPr>
          <w:b/>
          <w:lang w:eastAsia="et-EE"/>
        </w:rPr>
        <w:t>tabeli punkti</w:t>
      </w:r>
      <w:r w:rsidR="00220AE5" w:rsidRPr="007948DD">
        <w:rPr>
          <w:b/>
          <w:lang w:eastAsia="et-EE"/>
        </w:rPr>
        <w:t>de</w:t>
      </w:r>
      <w:r w:rsidRPr="007948DD">
        <w:rPr>
          <w:b/>
          <w:lang w:eastAsia="et-EE"/>
        </w:rPr>
        <w:t>s 5</w:t>
      </w:r>
      <w:r w:rsidR="00220AE5" w:rsidRPr="007948DD">
        <w:rPr>
          <w:b/>
          <w:lang w:eastAsia="et-EE"/>
        </w:rPr>
        <w:t xml:space="preserve"> ja</w:t>
      </w:r>
      <w:r w:rsidRPr="007948DD">
        <w:rPr>
          <w:b/>
          <w:lang w:eastAsia="et-EE"/>
        </w:rPr>
        <w:t xml:space="preserve"> </w:t>
      </w:r>
      <w:r w:rsidR="00220AE5" w:rsidRPr="007948DD">
        <w:rPr>
          <w:b/>
          <w:lang w:eastAsia="et-EE"/>
        </w:rPr>
        <w:t xml:space="preserve">6 </w:t>
      </w:r>
      <w:r w:rsidRPr="007948DD">
        <w:rPr>
          <w:b/>
          <w:lang w:eastAsia="et-EE"/>
        </w:rPr>
        <w:t xml:space="preserve">sätestatakse ravimsööda </w:t>
      </w:r>
      <w:r w:rsidR="00220AE5" w:rsidRPr="007948DD">
        <w:rPr>
          <w:b/>
          <w:lang w:eastAsia="et-EE"/>
        </w:rPr>
        <w:t xml:space="preserve">või ravimsööda vahetoote </w:t>
      </w:r>
      <w:r w:rsidRPr="007948DD">
        <w:rPr>
          <w:b/>
          <w:lang w:eastAsia="et-EE"/>
        </w:rPr>
        <w:t>tootmise</w:t>
      </w:r>
      <w:r w:rsidR="00220AE5" w:rsidRPr="007948DD">
        <w:rPr>
          <w:b/>
          <w:lang w:eastAsia="et-EE"/>
        </w:rPr>
        <w:t xml:space="preserve"> ja turuleviimise</w:t>
      </w:r>
      <w:r w:rsidRPr="007948DD">
        <w:rPr>
          <w:b/>
          <w:lang w:eastAsia="et-EE"/>
        </w:rPr>
        <w:t>ga seotud tegevusalad</w:t>
      </w:r>
      <w:r w:rsidR="00220AE5">
        <w:rPr>
          <w:lang w:eastAsia="et-EE"/>
        </w:rPr>
        <w:t xml:space="preserve">. Kehtiva korra kohaselt peab sööda käitlejal olema tegevusluba, kui tema ettevõttes tegeletakse ravimsööda tootmisega oma ettevõtte tarbeks või turuleviimiseks. </w:t>
      </w:r>
      <w:r w:rsidR="001B3A7F">
        <w:t>M</w:t>
      </w:r>
      <w:r w:rsidR="000F63AD">
        <w:t xml:space="preserve">ääruse (EL) 2019/4 artikli 13 lõike 1 </w:t>
      </w:r>
      <w:r w:rsidR="001B3A7F">
        <w:t xml:space="preserve">kohaselt </w:t>
      </w:r>
      <w:r w:rsidR="000F63AD">
        <w:t xml:space="preserve">peab sööda käitlejal olema tegevusluba, kui tema ettevõttes tegeletakse ravimsööda või ravimsööda vahetoote tootmise, ladustamise, veo või turuleviimisega. Nimetatud artikli rakendamiseks lisatakse tabeli punkti 5 uued tegevusalad, nagu </w:t>
      </w:r>
      <w:r w:rsidR="000F63AD" w:rsidRPr="005D2751">
        <w:t xml:space="preserve">ravimsööda ettetootmine, </w:t>
      </w:r>
      <w:r w:rsidR="00A17C38" w:rsidRPr="005D2751">
        <w:t xml:space="preserve">ravimsööda </w:t>
      </w:r>
      <w:r w:rsidR="00885540" w:rsidRPr="005D2751">
        <w:t xml:space="preserve">tootmine selleks spetsiaalselt seadmestatud veokis või </w:t>
      </w:r>
      <w:r w:rsidR="005541EF" w:rsidRPr="005D2751">
        <w:t>ravimsööda</w:t>
      </w:r>
      <w:r w:rsidR="0020257D" w:rsidRPr="005D2751">
        <w:t xml:space="preserve"> </w:t>
      </w:r>
      <w:r w:rsidR="00885540" w:rsidRPr="005D2751">
        <w:t>turuleviimine</w:t>
      </w:r>
      <w:r w:rsidR="00885540">
        <w:t xml:space="preserve">. </w:t>
      </w:r>
      <w:r w:rsidR="00DA4F14">
        <w:t>Eelnõus kasutatav termin „spetsiaalselt seadmestatud veok</w:t>
      </w:r>
      <w:r w:rsidR="00DA4F14">
        <w:rPr>
          <w:bCs/>
        </w:rPr>
        <w:t xml:space="preserve">” </w:t>
      </w:r>
      <w:r w:rsidR="00DA4F14" w:rsidRPr="00DA4F14">
        <w:rPr>
          <w:color w:val="333333"/>
          <w:shd w:val="clear" w:color="auto" w:fill="FFFFFF"/>
        </w:rPr>
        <w:t xml:space="preserve">on seotud </w:t>
      </w:r>
      <w:r w:rsidR="00DA4F14">
        <w:t xml:space="preserve">määruse (EL) 2019/4 </w:t>
      </w:r>
      <w:r w:rsidR="00DA4F14" w:rsidRPr="00DA4F14">
        <w:rPr>
          <w:color w:val="333333"/>
          <w:shd w:val="clear" w:color="auto" w:fill="FFFFFF"/>
        </w:rPr>
        <w:t>art</w:t>
      </w:r>
      <w:r w:rsidR="00DA4F14">
        <w:rPr>
          <w:color w:val="333333"/>
          <w:shd w:val="clear" w:color="auto" w:fill="FFFFFF"/>
        </w:rPr>
        <w:t>ikli</w:t>
      </w:r>
      <w:r w:rsidR="00DA4F14" w:rsidRPr="00DA4F14">
        <w:rPr>
          <w:color w:val="333333"/>
          <w:shd w:val="clear" w:color="auto" w:fill="FFFFFF"/>
        </w:rPr>
        <w:t xml:space="preserve"> 3 lõike 1 punktis f m</w:t>
      </w:r>
      <w:r w:rsidR="00DA4F14">
        <w:rPr>
          <w:color w:val="333333"/>
          <w:shd w:val="clear" w:color="auto" w:fill="FFFFFF"/>
        </w:rPr>
        <w:t>ääratletu</w:t>
      </w:r>
      <w:r w:rsidR="00DA4F14" w:rsidRPr="00DA4F14">
        <w:rPr>
          <w:color w:val="333333"/>
          <w:shd w:val="clear" w:color="auto" w:fill="FFFFFF"/>
        </w:rPr>
        <w:t>ga.</w:t>
      </w:r>
    </w:p>
    <w:p w14:paraId="5C66B10D" w14:textId="77777777" w:rsidR="00DA4F14" w:rsidRPr="00DA4F14" w:rsidRDefault="00DA4F14" w:rsidP="00DA4F14"/>
    <w:p w14:paraId="6C973F66" w14:textId="1679DED8" w:rsidR="00B20D41" w:rsidRDefault="00885540" w:rsidP="00C75308">
      <w:pPr>
        <w:jc w:val="both"/>
      </w:pPr>
      <w:r>
        <w:t>Tabeli punktis 6 sätestatakse tegevusalad, nagu ravimsööda vahetoote tootmine oma ettevõtte tarbeks,</w:t>
      </w:r>
      <w:r w:rsidRPr="00885540">
        <w:t xml:space="preserve"> </w:t>
      </w:r>
      <w:r w:rsidR="005D2751">
        <w:t xml:space="preserve">ravimsööda vahetoote </w:t>
      </w:r>
      <w:r>
        <w:t xml:space="preserve">tootmine turuleviimiseks, </w:t>
      </w:r>
      <w:r w:rsidR="00EC7BBA">
        <w:t>ravimsöö</w:t>
      </w:r>
      <w:r w:rsidR="0070021E">
        <w:t xml:space="preserve">da vahetoote </w:t>
      </w:r>
      <w:r>
        <w:t xml:space="preserve">ettetootmine või </w:t>
      </w:r>
      <w:r w:rsidR="005D2751">
        <w:t xml:space="preserve">ravimsööda vahetoote </w:t>
      </w:r>
      <w:r>
        <w:t>turuleviimine.</w:t>
      </w:r>
      <w:r w:rsidR="00C75308">
        <w:t xml:space="preserve"> </w:t>
      </w:r>
    </w:p>
    <w:p w14:paraId="01680D9E" w14:textId="77777777" w:rsidR="00B20D41" w:rsidRDefault="00B20D41" w:rsidP="00C75308">
      <w:pPr>
        <w:jc w:val="both"/>
      </w:pPr>
    </w:p>
    <w:p w14:paraId="0FDF06B2" w14:textId="77777777" w:rsidR="00C75308" w:rsidRPr="00E019DA" w:rsidRDefault="00C75308" w:rsidP="00C75308">
      <w:pPr>
        <w:jc w:val="both"/>
      </w:pPr>
      <w:r w:rsidRPr="00E019DA">
        <w:t xml:space="preserve">Sööda käitleja, kelle ettevõttes tegeletakse näiteks ravimsööda tootmisega, peab esitama PTA-le tegevusloa muutmise taotluse, kui tema ettevõttes kavatsetakse hakata tegelema mõne muu eespool nimetatud tegevusalaga, näiteks </w:t>
      </w:r>
      <w:r>
        <w:t xml:space="preserve">ravimsööda </w:t>
      </w:r>
      <w:r w:rsidRPr="00E019DA">
        <w:t>vahetoote turuleviimisega.</w:t>
      </w:r>
    </w:p>
    <w:p w14:paraId="7A109927" w14:textId="77777777" w:rsidR="00885540" w:rsidRDefault="00885540" w:rsidP="00220AE5">
      <w:pPr>
        <w:jc w:val="both"/>
      </w:pPr>
    </w:p>
    <w:p w14:paraId="69D0653D" w14:textId="77777777" w:rsidR="00885540" w:rsidRDefault="00885540" w:rsidP="00885540">
      <w:pPr>
        <w:pStyle w:val="Default"/>
        <w:jc w:val="both"/>
        <w:rPr>
          <w:color w:val="auto"/>
        </w:rPr>
      </w:pPr>
      <w:r w:rsidRPr="00E019DA">
        <w:rPr>
          <w:color w:val="auto"/>
        </w:rPr>
        <w:t>Sööda käitleja, kellel on asjakohane tegevusluba, võib jätkata oma tegevust tingimusel, et ta esitab hiljemalt 2022. aasta</w:t>
      </w:r>
      <w:r w:rsidR="00632952">
        <w:rPr>
          <w:color w:val="auto"/>
        </w:rPr>
        <w:t xml:space="preserve"> 28. juuliks</w:t>
      </w:r>
      <w:r w:rsidRPr="00E019DA">
        <w:rPr>
          <w:color w:val="auto"/>
        </w:rPr>
        <w:t xml:space="preserve"> </w:t>
      </w:r>
      <w:r>
        <w:rPr>
          <w:color w:val="auto"/>
        </w:rPr>
        <w:t>PTA-le</w:t>
      </w:r>
      <w:r w:rsidRPr="00E019DA">
        <w:rPr>
          <w:color w:val="auto"/>
        </w:rPr>
        <w:t xml:space="preserve"> teate selle kohta, et </w:t>
      </w:r>
      <w:r w:rsidRPr="00E019DA">
        <w:t>ravimsööda tootmiseks, ladustamiseks, veoks või turuleviimiseks</w:t>
      </w:r>
      <w:r w:rsidRPr="00E019DA">
        <w:rPr>
          <w:color w:val="auto"/>
        </w:rPr>
        <w:t xml:space="preserve"> kehtestatud süsteem vastab määrus</w:t>
      </w:r>
      <w:r w:rsidR="005B1F32">
        <w:rPr>
          <w:color w:val="auto"/>
        </w:rPr>
        <w:t>e</w:t>
      </w:r>
      <w:r w:rsidRPr="00E019DA">
        <w:rPr>
          <w:color w:val="auto"/>
        </w:rPr>
        <w:t xml:space="preserve"> (EL) 2019/4 II</w:t>
      </w:r>
      <w:r w:rsidR="00D13BFF">
        <w:rPr>
          <w:color w:val="auto"/>
        </w:rPr>
        <w:t> </w:t>
      </w:r>
      <w:r w:rsidRPr="00E019DA">
        <w:rPr>
          <w:color w:val="auto"/>
        </w:rPr>
        <w:t>peatüki erinõuetele.</w:t>
      </w:r>
    </w:p>
    <w:p w14:paraId="7AC8C553" w14:textId="77777777" w:rsidR="00885540" w:rsidRDefault="00885540" w:rsidP="00220AE5">
      <w:pPr>
        <w:jc w:val="both"/>
        <w:rPr>
          <w:lang w:eastAsia="et-EE"/>
        </w:rPr>
      </w:pPr>
    </w:p>
    <w:p w14:paraId="0346FE23" w14:textId="77777777" w:rsidR="00653F95" w:rsidRPr="00F85B29" w:rsidRDefault="00653F95" w:rsidP="00653F95">
      <w:pPr>
        <w:jc w:val="both"/>
      </w:pPr>
      <w:r w:rsidRPr="00F85B29">
        <w:rPr>
          <w:b/>
        </w:rPr>
        <w:t xml:space="preserve">Eelnõu §-s 2 </w:t>
      </w:r>
      <w:r w:rsidRPr="00F85B29">
        <w:t>esitatakse määruse jõustumissäte. Määru</w:t>
      </w:r>
      <w:r w:rsidR="00BD7015" w:rsidRPr="00F85B29">
        <w:t xml:space="preserve">se </w:t>
      </w:r>
      <w:r w:rsidR="001B3A7F">
        <w:t xml:space="preserve">kavandatud </w:t>
      </w:r>
      <w:r w:rsidR="00B96DA9">
        <w:t>jõustumisaeg on</w:t>
      </w:r>
      <w:r w:rsidR="00CC2284">
        <w:t xml:space="preserve"> </w:t>
      </w:r>
      <w:r w:rsidR="00BD7015" w:rsidRPr="00F85B29">
        <w:t>2022</w:t>
      </w:r>
      <w:r w:rsidRPr="00F85B29">
        <w:t xml:space="preserve">. aasta 1. </w:t>
      </w:r>
      <w:r w:rsidR="00235C14" w:rsidRPr="00F85B29">
        <w:t>juul</w:t>
      </w:r>
      <w:r w:rsidRPr="00F85B29">
        <w:t xml:space="preserve">il. </w:t>
      </w:r>
      <w:r w:rsidR="005A37D5" w:rsidRPr="00F85B29">
        <w:rPr>
          <w:bCs/>
        </w:rPr>
        <w:t xml:space="preserve">Jõustumise kuupäev on sätestatud arvestusega, et määrus jõustuks ühel ajal </w:t>
      </w:r>
      <w:r w:rsidR="00235C14" w:rsidRPr="00F85B29">
        <w:t>söödaseaduse muu</w:t>
      </w:r>
      <w:r w:rsidR="005A37D5" w:rsidRPr="00F85B29">
        <w:t>tmise seaduse</w:t>
      </w:r>
      <w:r w:rsidR="00235C14" w:rsidRPr="00F85B29">
        <w:t>ga</w:t>
      </w:r>
      <w:r w:rsidR="000A1CE0">
        <w:t xml:space="preserve"> (499 SE)</w:t>
      </w:r>
      <w:r w:rsidR="00235C14" w:rsidRPr="00F85B29">
        <w:t>.</w:t>
      </w:r>
    </w:p>
    <w:p w14:paraId="5590374A" w14:textId="77777777" w:rsidR="00653F95" w:rsidRPr="00F85B29" w:rsidRDefault="00653F95" w:rsidP="00653F95">
      <w:pPr>
        <w:jc w:val="both"/>
        <w:rPr>
          <w:lang w:eastAsia="et-EE"/>
        </w:rPr>
      </w:pPr>
    </w:p>
    <w:p w14:paraId="18A60308" w14:textId="77777777" w:rsidR="00653F95" w:rsidRDefault="00653F95" w:rsidP="00653F95">
      <w:pPr>
        <w:jc w:val="both"/>
        <w:rPr>
          <w:b/>
          <w:bCs/>
        </w:rPr>
      </w:pPr>
      <w:r w:rsidRPr="00F85B29">
        <w:rPr>
          <w:b/>
          <w:bCs/>
        </w:rPr>
        <w:t>3. Eelnõu vastavus Euroopa Liidu õigusele</w:t>
      </w:r>
    </w:p>
    <w:p w14:paraId="33CEF8AA" w14:textId="77777777" w:rsidR="00653F95" w:rsidRDefault="00653F95" w:rsidP="00653F95">
      <w:pPr>
        <w:jc w:val="both"/>
        <w:rPr>
          <w:bCs/>
        </w:rPr>
      </w:pPr>
    </w:p>
    <w:p w14:paraId="2626526C" w14:textId="77777777" w:rsidR="00653F95" w:rsidRDefault="00653F95" w:rsidP="00653F95">
      <w:pPr>
        <w:jc w:val="both"/>
        <w:rPr>
          <w:lang w:eastAsia="et-EE"/>
        </w:rPr>
      </w:pPr>
      <w:r>
        <w:rPr>
          <w:color w:val="000000"/>
        </w:rPr>
        <w:t xml:space="preserve">Eelnõu on kooskõlas Euroopa Liidu õigusega. </w:t>
      </w:r>
      <w:r>
        <w:t xml:space="preserve">Eelnõu ettevalmistamisel on arvestatud </w:t>
      </w:r>
      <w:r w:rsidR="00235C14" w:rsidRPr="00235C14">
        <w:t>Euroopa Parlamendi ja nõukogu määrusega (EL) 2019/4, mis käsitleb ravimsööda tootmist, turuleviimist ja kasutamist, millega muudetakse Euroopa Parlamendi ja nõukogu määrust (EÜ) nr 183/2005 ning tunnistatakse kehtetuks nõukogu direktiiv 90/167/EMÜ (</w:t>
      </w:r>
      <w:r w:rsidR="00235C14" w:rsidRPr="00235C14">
        <w:rPr>
          <w:shd w:val="clear" w:color="auto" w:fill="FFFFFF"/>
        </w:rPr>
        <w:t>ELT L 4, 07.01.2019, lk 1</w:t>
      </w:r>
      <w:r w:rsidR="00235C14" w:rsidRPr="00235C14">
        <w:t>–</w:t>
      </w:r>
      <w:r w:rsidR="00235C14" w:rsidRPr="00235C14">
        <w:rPr>
          <w:shd w:val="clear" w:color="auto" w:fill="FFFFFF"/>
        </w:rPr>
        <w:t>23)</w:t>
      </w:r>
      <w:r w:rsidR="00235C14">
        <w:t>.</w:t>
      </w:r>
    </w:p>
    <w:p w14:paraId="2734C9B6" w14:textId="77777777" w:rsidR="00653F95" w:rsidRPr="00F85B29" w:rsidRDefault="00653F95" w:rsidP="00653F95">
      <w:pPr>
        <w:jc w:val="both"/>
        <w:rPr>
          <w:bCs/>
        </w:rPr>
      </w:pPr>
    </w:p>
    <w:p w14:paraId="2F2B01BE" w14:textId="77777777" w:rsidR="00653F95" w:rsidRDefault="00653F95" w:rsidP="00653F95">
      <w:pPr>
        <w:jc w:val="both"/>
        <w:rPr>
          <w:b/>
          <w:bCs/>
        </w:rPr>
      </w:pPr>
      <w:r w:rsidRPr="00F85B29">
        <w:rPr>
          <w:b/>
          <w:bCs/>
        </w:rPr>
        <w:t>4. Määruse mõjud</w:t>
      </w:r>
    </w:p>
    <w:p w14:paraId="1FEE9976" w14:textId="77777777" w:rsidR="00653F95" w:rsidRDefault="00653F95" w:rsidP="00653F95">
      <w:pPr>
        <w:jc w:val="both"/>
        <w:rPr>
          <w:bCs/>
        </w:rPr>
      </w:pPr>
    </w:p>
    <w:p w14:paraId="1F8209A1" w14:textId="77777777" w:rsidR="001C6A32" w:rsidRDefault="001C6A32" w:rsidP="001C6A32">
      <w:pPr>
        <w:adjustRightInd w:val="0"/>
        <w:ind w:right="-79"/>
        <w:jc w:val="both"/>
      </w:pPr>
      <w:r>
        <w:t>Määrus</w:t>
      </w:r>
      <w:r w:rsidR="00311ABA">
        <w:t xml:space="preserve"> ei mõjuta </w:t>
      </w:r>
      <w:r>
        <w:t>riigi julgeoleku</w:t>
      </w:r>
      <w:r w:rsidR="00311ABA">
        <w:t>t</w:t>
      </w:r>
      <w:r>
        <w:t xml:space="preserve"> ja välissuhte</w:t>
      </w:r>
      <w:r w:rsidR="00311ABA">
        <w:t>id</w:t>
      </w:r>
      <w:r>
        <w:t>, siseturvalisus</w:t>
      </w:r>
      <w:r w:rsidR="00311ABA">
        <w:t>t</w:t>
      </w:r>
      <w:r>
        <w:t>, regionaalarengu</w:t>
      </w:r>
      <w:r w:rsidR="00311ABA">
        <w:t>t</w:t>
      </w:r>
      <w:r>
        <w:t xml:space="preserve">, </w:t>
      </w:r>
      <w:r w:rsidRPr="00E7668C">
        <w:t>riigivalitsemis</w:t>
      </w:r>
      <w:r w:rsidR="00311ABA">
        <w:t>t</w:t>
      </w:r>
      <w:r w:rsidRPr="00E7668C">
        <w:t>, haridus</w:t>
      </w:r>
      <w:r w:rsidR="00311ABA">
        <w:t>t</w:t>
      </w:r>
      <w:r w:rsidRPr="00E7668C">
        <w:t>, kultuuri, spor</w:t>
      </w:r>
      <w:r w:rsidR="00311ABA">
        <w:t>ti</w:t>
      </w:r>
      <w:r w:rsidRPr="00E7668C">
        <w:t>, infotehnoloogia</w:t>
      </w:r>
      <w:r w:rsidR="00311ABA">
        <w:t>t</w:t>
      </w:r>
      <w:r w:rsidRPr="00E7668C">
        <w:t>, infoühiskon</w:t>
      </w:r>
      <w:r w:rsidR="00311ABA">
        <w:t>da</w:t>
      </w:r>
      <w:r w:rsidRPr="00E7668C">
        <w:t xml:space="preserve"> ning keskko</w:t>
      </w:r>
      <w:r w:rsidR="00311ABA">
        <w:t>nda</w:t>
      </w:r>
      <w:r w:rsidRPr="00E7668C">
        <w:t>.</w:t>
      </w:r>
    </w:p>
    <w:p w14:paraId="5AB81D15" w14:textId="77777777" w:rsidR="008A36C3" w:rsidRDefault="008A36C3" w:rsidP="008A36C3">
      <w:pPr>
        <w:jc w:val="both"/>
      </w:pPr>
    </w:p>
    <w:p w14:paraId="6440A64A" w14:textId="77777777" w:rsidR="008A36C3" w:rsidRDefault="008A36C3" w:rsidP="008A36C3">
      <w:pPr>
        <w:adjustRightInd w:val="0"/>
        <w:ind w:right="-79"/>
        <w:jc w:val="both"/>
        <w:rPr>
          <w:b/>
        </w:rPr>
      </w:pPr>
      <w:r>
        <w:rPr>
          <w:b/>
        </w:rPr>
        <w:t>4.1. Sotsiaalsed mõjud, sealhulgas mõju rahvatervisele</w:t>
      </w:r>
    </w:p>
    <w:p w14:paraId="1F3841CC" w14:textId="77777777" w:rsidR="00E037C5" w:rsidRDefault="00E037C5" w:rsidP="008A36C3">
      <w:pPr>
        <w:adjustRightInd w:val="0"/>
        <w:ind w:right="-79"/>
        <w:jc w:val="both"/>
        <w:rPr>
          <w:b/>
        </w:rPr>
      </w:pPr>
    </w:p>
    <w:p w14:paraId="4C40EB93" w14:textId="77777777" w:rsidR="00670DA7" w:rsidRDefault="00670DA7" w:rsidP="00670DA7">
      <w:pPr>
        <w:adjustRightInd w:val="0"/>
        <w:ind w:right="-79"/>
        <w:jc w:val="both"/>
        <w:rPr>
          <w:bCs/>
        </w:rPr>
      </w:pPr>
      <w:r>
        <w:t xml:space="preserve">Määrusel võib olla kaudne positiivne mõju rahvatervisele, kuna eelnõus kavandatu mõjutab </w:t>
      </w:r>
      <w:r>
        <w:rPr>
          <w:color w:val="000000"/>
          <w:lang w:eastAsia="et-EE"/>
        </w:rPr>
        <w:t xml:space="preserve">Eestis toodetava loomse toidu ohutust ja kvaliteeti. </w:t>
      </w:r>
      <w:r>
        <w:rPr>
          <w:bCs/>
        </w:rPr>
        <w:t>Sööda, sealhulgas ravimsööda käitlemine hõlmab erinevaid tegevusi, mille puhul on oluline täita söödaalaste õigusaktide asjaomaseid nõudeid.</w:t>
      </w:r>
      <w:r>
        <w:rPr>
          <w:color w:val="444444"/>
          <w:sz w:val="27"/>
          <w:szCs w:val="27"/>
          <w:shd w:val="clear" w:color="auto" w:fill="FFFFFF"/>
        </w:rPr>
        <w:t xml:space="preserve"> </w:t>
      </w:r>
      <w:r>
        <w:rPr>
          <w:shd w:val="clear" w:color="auto" w:fill="FFFFFF"/>
        </w:rPr>
        <w:t xml:space="preserve">Määrustest (EÜ) nr 183/2005 ja (EL) 2019/4 tuleneva teatamis- ja loakohustuse eesmärk on tagada jälgitavus </w:t>
      </w:r>
      <w:r w:rsidR="00A669A6">
        <w:rPr>
          <w:shd w:val="clear" w:color="auto" w:fill="FFFFFF"/>
        </w:rPr>
        <w:t xml:space="preserve">söödaahelas </w:t>
      </w:r>
      <w:r>
        <w:rPr>
          <w:shd w:val="clear" w:color="auto" w:fill="FFFFFF"/>
        </w:rPr>
        <w:t>sööda tootjast lõppkasutajani ning hõlbustada tõhusaid ametlikke kontrolle. S</w:t>
      </w:r>
      <w:r>
        <w:t>öödakä</w:t>
      </w:r>
      <w:r w:rsidR="009B67E1">
        <w:t>i</w:t>
      </w:r>
      <w:r>
        <w:t>tlemisettevõtte riskitaseme hindamiseks on oluline teada kõikidest tegevusaladest, millega ettevõttes tegeletakse, ning tegevuskohtadest, kus neid tegevusi tehakse.</w:t>
      </w:r>
      <w:r>
        <w:rPr>
          <w:bCs/>
        </w:rPr>
        <w:t xml:space="preserve"> </w:t>
      </w:r>
    </w:p>
    <w:p w14:paraId="719A56A4" w14:textId="77777777" w:rsidR="00CD2EFA" w:rsidRDefault="00CD2EFA" w:rsidP="00670DA7">
      <w:pPr>
        <w:adjustRightInd w:val="0"/>
        <w:ind w:right="-79"/>
        <w:jc w:val="both"/>
        <w:rPr>
          <w:bCs/>
        </w:rPr>
      </w:pPr>
    </w:p>
    <w:p w14:paraId="48FAD587" w14:textId="77777777" w:rsidR="00002857" w:rsidRDefault="008A36C3" w:rsidP="00670DA7">
      <w:pPr>
        <w:adjustRightInd w:val="0"/>
        <w:ind w:right="-79"/>
        <w:jc w:val="both"/>
        <w:rPr>
          <w:b/>
        </w:rPr>
      </w:pPr>
      <w:r>
        <w:rPr>
          <w:b/>
        </w:rPr>
        <w:lastRenderedPageBreak/>
        <w:t>4.2. Majanduslikud mõjud sööda</w:t>
      </w:r>
      <w:r w:rsidR="00B75598">
        <w:rPr>
          <w:b/>
        </w:rPr>
        <w:t xml:space="preserve"> </w:t>
      </w:r>
      <w:r>
        <w:rPr>
          <w:b/>
        </w:rPr>
        <w:t xml:space="preserve">käitlejatele, sealhulgas mõju </w:t>
      </w:r>
      <w:r w:rsidR="000A54FC">
        <w:rPr>
          <w:b/>
        </w:rPr>
        <w:t xml:space="preserve">nende </w:t>
      </w:r>
      <w:r>
        <w:rPr>
          <w:b/>
        </w:rPr>
        <w:t>halduskoormusele</w:t>
      </w:r>
    </w:p>
    <w:p w14:paraId="59DE70EF" w14:textId="77777777" w:rsidR="00047D21" w:rsidRDefault="00047D21" w:rsidP="00670DA7">
      <w:pPr>
        <w:adjustRightInd w:val="0"/>
        <w:ind w:right="-79"/>
        <w:jc w:val="both"/>
        <w:rPr>
          <w:bCs/>
        </w:rPr>
      </w:pPr>
    </w:p>
    <w:p w14:paraId="459F794F" w14:textId="77777777" w:rsidR="00002857" w:rsidRDefault="00002857" w:rsidP="00670DA7">
      <w:pPr>
        <w:adjustRightInd w:val="0"/>
        <w:ind w:right="-79"/>
        <w:jc w:val="both"/>
        <w:rPr>
          <w:bCs/>
        </w:rPr>
      </w:pPr>
      <w:r>
        <w:rPr>
          <w:bCs/>
        </w:rPr>
        <w:t xml:space="preserve">Samuti võib olla </w:t>
      </w:r>
      <w:r>
        <w:t>määrusel kaudne positiivne mõju majandusele, sest eelnõuga kavandatu loob ettevõtjatele võimaluse alustada selliste uute tegevusaladega, nagu näiteks ravimsööda ettetootmine või lemmikloomadele ette nähtud ravimsööda tootmine.</w:t>
      </w:r>
    </w:p>
    <w:p w14:paraId="11FDA88A" w14:textId="77777777" w:rsidR="001C6A32" w:rsidRDefault="001C6A32" w:rsidP="001C6A32">
      <w:pPr>
        <w:jc w:val="both"/>
      </w:pPr>
    </w:p>
    <w:p w14:paraId="4B376BA2" w14:textId="77777777" w:rsidR="00670DA7" w:rsidRDefault="00971BAE" w:rsidP="00670DA7">
      <w:pPr>
        <w:jc w:val="both"/>
      </w:pPr>
      <w:r w:rsidRPr="007B589A">
        <w:t>Peami</w:t>
      </w:r>
      <w:r w:rsidR="00047910">
        <w:t>ne</w:t>
      </w:r>
      <w:r w:rsidRPr="007B589A">
        <w:t xml:space="preserve"> sihtrühm</w:t>
      </w:r>
      <w:r>
        <w:t xml:space="preserve"> on sööda käitlejad, keda r</w:t>
      </w:r>
      <w:r w:rsidR="00670DA7">
        <w:t xml:space="preserve">iigi toidu ja sööda käitlejate registri andmetel on Eestis </w:t>
      </w:r>
      <w:r w:rsidR="007D5AA1">
        <w:t>2022</w:t>
      </w:r>
      <w:r w:rsidR="00670DA7">
        <w:t xml:space="preserve">. aasta </w:t>
      </w:r>
      <w:r w:rsidR="004639EA">
        <w:t xml:space="preserve">18. aprilli </w:t>
      </w:r>
      <w:r w:rsidR="00670DA7">
        <w:t xml:space="preserve">seisuga </w:t>
      </w:r>
      <w:r w:rsidR="000D42EF">
        <w:t>3937</w:t>
      </w:r>
      <w:r>
        <w:t xml:space="preserve">. Nendest </w:t>
      </w:r>
      <w:r w:rsidR="00670DA7">
        <w:t>üheks</w:t>
      </w:r>
      <w:r>
        <w:t>a tegeleb ravimsööda tootmisega, 34 sööda ümberpakendamisega,</w:t>
      </w:r>
      <w:r w:rsidR="007B589A">
        <w:t xml:space="preserve"> 475 segasööda tootmisega oma ettevõtte tarbeks,</w:t>
      </w:r>
      <w:r>
        <w:t xml:space="preserve"> </w:t>
      </w:r>
      <w:r w:rsidR="005A4142">
        <w:t>2</w:t>
      </w:r>
      <w:r w:rsidR="000370E6">
        <w:t>16</w:t>
      </w:r>
      <w:r w:rsidR="005A4142">
        <w:t xml:space="preserve"> </w:t>
      </w:r>
      <w:r w:rsidR="000370E6">
        <w:t xml:space="preserve">taimse </w:t>
      </w:r>
      <w:r>
        <w:t>sööda</w:t>
      </w:r>
      <w:r w:rsidR="000370E6">
        <w:t>materjali</w:t>
      </w:r>
      <w:r>
        <w:t xml:space="preserve"> ladustamisega oma ettevõtte tarbeks</w:t>
      </w:r>
      <w:r w:rsidR="005A4281">
        <w:t xml:space="preserve"> ja </w:t>
      </w:r>
      <w:r w:rsidR="005A4142">
        <w:t xml:space="preserve">99 </w:t>
      </w:r>
      <w:r w:rsidR="005A4281">
        <w:t>osutab sööda ladustamise</w:t>
      </w:r>
      <w:r w:rsidR="00EA2388">
        <w:t xml:space="preserve"> teenust</w:t>
      </w:r>
      <w:r w:rsidR="005A4281">
        <w:t xml:space="preserve">. </w:t>
      </w:r>
      <w:r w:rsidR="00A36CA9">
        <w:t xml:space="preserve">Seitse </w:t>
      </w:r>
      <w:r w:rsidR="00670DA7">
        <w:t xml:space="preserve">ravimsööda tootjat </w:t>
      </w:r>
      <w:r w:rsidR="00A01114">
        <w:t xml:space="preserve">tegelevad </w:t>
      </w:r>
      <w:r w:rsidR="00670DA7">
        <w:t xml:space="preserve">ravimsööda tootmisega selle </w:t>
      </w:r>
      <w:r w:rsidR="00670DA7" w:rsidRPr="004D402E">
        <w:t xml:space="preserve">turuleviimiseks ja </w:t>
      </w:r>
      <w:r w:rsidR="00A36CA9" w:rsidRPr="004D402E">
        <w:t>kaks</w:t>
      </w:r>
      <w:r w:rsidR="00670DA7" w:rsidRPr="004D402E">
        <w:t xml:space="preserve"> </w:t>
      </w:r>
      <w:r w:rsidR="00A01114">
        <w:t>toodavad</w:t>
      </w:r>
      <w:r w:rsidR="00670DA7" w:rsidRPr="004D402E">
        <w:t xml:space="preserve"> ravimsööta oma ettevõtte tarbeks. Enam</w:t>
      </w:r>
      <w:r w:rsidR="00653926">
        <w:t>ik</w:t>
      </w:r>
      <w:r w:rsidR="00670DA7" w:rsidRPr="004D402E">
        <w:t xml:space="preserve"> ravimsööda tootjatest tegeleb ka ravimsööda ladustamise, veo ja turustamisega. </w:t>
      </w:r>
      <w:r w:rsidR="005A4281" w:rsidRPr="004D402E">
        <w:t>Sööda turuleviimisega, sealhulgas impordi ja ekspordiga</w:t>
      </w:r>
      <w:r w:rsidR="008A764D">
        <w:t>,</w:t>
      </w:r>
      <w:r w:rsidR="005A4281" w:rsidRPr="004D402E">
        <w:t xml:space="preserve"> tegeleb 44</w:t>
      </w:r>
      <w:r w:rsidR="000D42EF">
        <w:t>5</w:t>
      </w:r>
      <w:r w:rsidR="005A4281" w:rsidRPr="004D402E">
        <w:t xml:space="preserve"> sööda käitlejat </w:t>
      </w:r>
      <w:r w:rsidR="00F243D4" w:rsidRPr="004D402E">
        <w:t>ning</w:t>
      </w:r>
      <w:r w:rsidR="005A4281" w:rsidRPr="004D402E">
        <w:t xml:space="preserve"> sööda müümisega jaekaubanduses </w:t>
      </w:r>
      <w:r w:rsidR="005C02FC" w:rsidRPr="004D402E">
        <w:t>19</w:t>
      </w:r>
      <w:r w:rsidR="005C02FC">
        <w:t>7</w:t>
      </w:r>
      <w:r w:rsidR="00CA1199">
        <w:t xml:space="preserve"> sööda käitlejat</w:t>
      </w:r>
      <w:r w:rsidR="005A4281" w:rsidRPr="004D402E">
        <w:t xml:space="preserve">. </w:t>
      </w:r>
      <w:r w:rsidR="00C44C60" w:rsidRPr="004D402E">
        <w:t>Praegu ei ole teada, k</w:t>
      </w:r>
      <w:r w:rsidR="005A4281" w:rsidRPr="004D402E">
        <w:t xml:space="preserve">ui paljud nendest </w:t>
      </w:r>
      <w:r w:rsidR="00C44C60" w:rsidRPr="004D402E">
        <w:t xml:space="preserve">müüvad sööta sidevahendite kaudu. </w:t>
      </w:r>
      <w:r w:rsidR="005C02FC">
        <w:t xml:space="preserve">Samuti ei koguta </w:t>
      </w:r>
      <w:r w:rsidR="0093219F">
        <w:t xml:space="preserve">praegu </w:t>
      </w:r>
      <w:r w:rsidR="005C02FC">
        <w:t xml:space="preserve">eraldi andmeid sööda käitlejate kohta, kes lisavad eelsegu </w:t>
      </w:r>
      <w:r w:rsidR="005C02FC" w:rsidRPr="00EA2388">
        <w:t>loomse toidu saamiseks peetava looma joogivette</w:t>
      </w:r>
      <w:r w:rsidR="00936A47">
        <w:t>,</w:t>
      </w:r>
      <w:r w:rsidR="005C02FC">
        <w:t xml:space="preserve"> või toodavad segasööta </w:t>
      </w:r>
      <w:r w:rsidR="005C02FC" w:rsidRPr="00EA2388">
        <w:t>selleks spetsiaalselt seadmestatud veokis</w:t>
      </w:r>
      <w:r w:rsidR="005C02FC" w:rsidRPr="004D402E">
        <w:t xml:space="preserve"> </w:t>
      </w:r>
      <w:r w:rsidR="007B589A">
        <w:t xml:space="preserve">või kasutavad söödalisandeid või nende eelsegusid lemmikloomatoidu tootmisel. </w:t>
      </w:r>
      <w:r w:rsidR="00A36CA9" w:rsidRPr="004D402E">
        <w:t>Lemmikloomadele ette nähtud ravimsööda tootmine, turuleviimine ja kasutamine, r</w:t>
      </w:r>
      <w:r w:rsidR="00670DA7" w:rsidRPr="004D402E">
        <w:t xml:space="preserve">avimsööda tootmiseks kasutatava vahetoote käitlemine </w:t>
      </w:r>
      <w:r w:rsidR="00F5243C" w:rsidRPr="004D402E">
        <w:t xml:space="preserve">ning ravimsööda või vahetoote ettetootmine </w:t>
      </w:r>
      <w:r w:rsidR="00670DA7" w:rsidRPr="004D402E">
        <w:t>on määrusest (EL) 2019/4 tulenev uus võimalus, mistõttu ükski Eesti sööda käitleja praegu sellise tegevusega veel ei tegele.</w:t>
      </w:r>
    </w:p>
    <w:p w14:paraId="2828F3DB" w14:textId="77777777" w:rsidR="00C44C60" w:rsidRDefault="00C44C60" w:rsidP="001C6A32">
      <w:pPr>
        <w:jc w:val="both"/>
      </w:pPr>
    </w:p>
    <w:p w14:paraId="461FCF68" w14:textId="77777777" w:rsidR="001C6A32" w:rsidRDefault="001C6A32" w:rsidP="001C6A32">
      <w:pPr>
        <w:jc w:val="both"/>
      </w:pPr>
      <w:r>
        <w:t>Juba tegutsevate ettevõtjate halduskoormust p</w:t>
      </w:r>
      <w:r>
        <w:rPr>
          <w:lang w:eastAsia="et-EE"/>
        </w:rPr>
        <w:t xml:space="preserve">õllumajandusministri määruse nr </w:t>
      </w:r>
      <w:r w:rsidR="00F967B8">
        <w:rPr>
          <w:lang w:eastAsia="et-EE"/>
        </w:rPr>
        <w:t xml:space="preserve">31 </w:t>
      </w:r>
      <w:r>
        <w:rPr>
          <w:lang w:eastAsia="et-EE"/>
        </w:rPr>
        <w:t>muutmine</w:t>
      </w:r>
      <w:r>
        <w:t xml:space="preserve"> </w:t>
      </w:r>
      <w:r w:rsidR="00CC5221">
        <w:t xml:space="preserve">oluliselt </w:t>
      </w:r>
      <w:r>
        <w:t>ei mõjuta</w:t>
      </w:r>
      <w:r w:rsidR="00D70C00">
        <w:t>. Mit</w:t>
      </w:r>
      <w:r w:rsidR="005541EF">
        <w:t>u</w:t>
      </w:r>
      <w:r w:rsidR="00D70C00">
        <w:t xml:space="preserve"> eelnõuga </w:t>
      </w:r>
      <w:r w:rsidR="00D70C00">
        <w:rPr>
          <w:lang w:eastAsia="et-EE"/>
        </w:rPr>
        <w:t>k</w:t>
      </w:r>
      <w:r w:rsidR="003C6B84" w:rsidRPr="00CF12D5">
        <w:t>avandatav</w:t>
      </w:r>
      <w:r w:rsidR="003C6B84">
        <w:t>a</w:t>
      </w:r>
      <w:r w:rsidR="005541EF">
        <w:t>t</w:t>
      </w:r>
      <w:r w:rsidR="003C6B84" w:rsidRPr="00CF12D5">
        <w:t xml:space="preserve"> </w:t>
      </w:r>
      <w:r w:rsidR="00135063">
        <w:t>tegevusalade nimetust puudutava</w:t>
      </w:r>
      <w:r w:rsidR="005541EF">
        <w:t>t</w:t>
      </w:r>
      <w:r w:rsidR="00135063">
        <w:t xml:space="preserve"> </w:t>
      </w:r>
      <w:r w:rsidR="00D70C00">
        <w:t>täpsustus</w:t>
      </w:r>
      <w:r w:rsidR="005541EF">
        <w:t>t</w:t>
      </w:r>
      <w:r w:rsidR="003C6B84">
        <w:t xml:space="preserve"> </w:t>
      </w:r>
      <w:r w:rsidR="00D70C00" w:rsidRPr="00CF12D5">
        <w:t xml:space="preserve">on </w:t>
      </w:r>
      <w:r w:rsidR="00D70C00">
        <w:t>pigem tehnilist laadi</w:t>
      </w:r>
      <w:r w:rsidR="00135063">
        <w:t xml:space="preserve"> ning see</w:t>
      </w:r>
      <w:r w:rsidR="00D70C00">
        <w:t xml:space="preserve">tõttu </w:t>
      </w:r>
      <w:r w:rsidR="00135063">
        <w:t xml:space="preserve">ei kaasne sellega </w:t>
      </w:r>
      <w:r w:rsidR="00D70C00">
        <w:t>sööda käitlejal</w:t>
      </w:r>
      <w:r w:rsidR="00135063">
        <w:t>e</w:t>
      </w:r>
      <w:r w:rsidR="00D70C00">
        <w:t xml:space="preserve"> </w:t>
      </w:r>
      <w:r w:rsidR="008477F0">
        <w:t>kohustus</w:t>
      </w:r>
      <w:r w:rsidR="00135063">
        <w:t>t</w:t>
      </w:r>
      <w:r w:rsidR="008477F0">
        <w:t xml:space="preserve"> e</w:t>
      </w:r>
      <w:r w:rsidR="00082596">
        <w:t>s</w:t>
      </w:r>
      <w:r w:rsidR="0076724A">
        <w:t>itada uus majandustegevustead</w:t>
      </w:r>
      <w:r w:rsidR="00D70C00">
        <w:t>e. Sellis</w:t>
      </w:r>
      <w:r w:rsidR="004A4039">
        <w:t>ed</w:t>
      </w:r>
      <w:r w:rsidR="00D70C00">
        <w:t xml:space="preserve"> </w:t>
      </w:r>
      <w:r w:rsidR="0076724A">
        <w:t>tegevusalad</w:t>
      </w:r>
      <w:r w:rsidR="00D70C00">
        <w:t xml:space="preserve"> on näiteks </w:t>
      </w:r>
      <w:r w:rsidR="00135063">
        <w:t>sööda segamine oma ettevõtte tarbeks, kasutamata lubatud loomset proteiini, veterinaarravimit, ravimsööda vahetoodet, söödalisandeid või nende eelsegusid</w:t>
      </w:r>
      <w:r w:rsidR="00392EAA">
        <w:t>;</w:t>
      </w:r>
      <w:r w:rsidR="00135063">
        <w:t xml:space="preserve"> </w:t>
      </w:r>
      <w:r w:rsidR="00870DB7">
        <w:t>teatava sööda ladustamine oma ettevõtte tarbeks</w:t>
      </w:r>
      <w:r w:rsidR="005112F1">
        <w:t>;</w:t>
      </w:r>
      <w:r w:rsidR="00870DB7">
        <w:t xml:space="preserve"> sööda müük sidevahendite kaudu</w:t>
      </w:r>
      <w:r w:rsidR="00986FE8">
        <w:t>;</w:t>
      </w:r>
      <w:r w:rsidR="00870DB7">
        <w:t xml:space="preserve"> ostetud sööda, välja arvatud ravimsööda ja ravimsööda vahetoote pakendamine ning</w:t>
      </w:r>
      <w:r w:rsidR="003C6B84">
        <w:rPr>
          <w:lang w:eastAsia="et-EE"/>
        </w:rPr>
        <w:t xml:space="preserve"> </w:t>
      </w:r>
      <w:r w:rsidR="00870DB7">
        <w:rPr>
          <w:lang w:eastAsia="et-EE"/>
        </w:rPr>
        <w:t xml:space="preserve">segasööda tootmine </w:t>
      </w:r>
      <w:r w:rsidR="003C6B84">
        <w:rPr>
          <w:lang w:eastAsia="et-EE"/>
        </w:rPr>
        <w:t>liikuvas segamisüksuses</w:t>
      </w:r>
      <w:r w:rsidR="00D70C00">
        <w:rPr>
          <w:lang w:eastAsia="et-EE"/>
        </w:rPr>
        <w:t>.</w:t>
      </w:r>
      <w:r w:rsidR="003C6B84">
        <w:rPr>
          <w:lang w:eastAsia="et-EE"/>
        </w:rPr>
        <w:t xml:space="preserve"> </w:t>
      </w:r>
      <w:r>
        <w:rPr>
          <w:lang w:eastAsia="et-EE"/>
        </w:rPr>
        <w:t>Juhul</w:t>
      </w:r>
      <w:r w:rsidR="00392EAA">
        <w:rPr>
          <w:lang w:eastAsia="et-EE"/>
        </w:rPr>
        <w:t>,</w:t>
      </w:r>
      <w:r>
        <w:rPr>
          <w:lang w:eastAsia="et-EE"/>
        </w:rPr>
        <w:t xml:space="preserve"> kui isik soovib</w:t>
      </w:r>
      <w:r w:rsidR="00CC5221">
        <w:rPr>
          <w:lang w:eastAsia="et-EE"/>
        </w:rPr>
        <w:t xml:space="preserve"> oma</w:t>
      </w:r>
      <w:r>
        <w:rPr>
          <w:lang w:eastAsia="et-EE"/>
        </w:rPr>
        <w:t xml:space="preserve"> </w:t>
      </w:r>
      <w:r w:rsidR="00CC5221">
        <w:rPr>
          <w:lang w:eastAsia="et-EE"/>
        </w:rPr>
        <w:t xml:space="preserve">ettevõtte </w:t>
      </w:r>
      <w:r>
        <w:rPr>
          <w:lang w:eastAsia="et-EE"/>
        </w:rPr>
        <w:t>tegevust laiendada</w:t>
      </w:r>
      <w:r w:rsidR="00CC5221">
        <w:rPr>
          <w:lang w:eastAsia="et-EE"/>
        </w:rPr>
        <w:t xml:space="preserve"> või hakata tegelema mõne </w:t>
      </w:r>
      <w:r w:rsidR="00870DB7">
        <w:rPr>
          <w:lang w:eastAsia="et-EE"/>
        </w:rPr>
        <w:t xml:space="preserve">uue </w:t>
      </w:r>
      <w:r w:rsidR="00CC5221">
        <w:rPr>
          <w:lang w:eastAsia="et-EE"/>
        </w:rPr>
        <w:t>tegevusalaga</w:t>
      </w:r>
      <w:r>
        <w:rPr>
          <w:lang w:eastAsia="et-EE"/>
        </w:rPr>
        <w:t xml:space="preserve">, tuleb tal </w:t>
      </w:r>
      <w:r>
        <w:rPr>
          <w:color w:val="000000" w:themeColor="text1"/>
        </w:rPr>
        <w:t xml:space="preserve">esitada PTA-le </w:t>
      </w:r>
      <w:r w:rsidR="00CC5221">
        <w:rPr>
          <w:color w:val="000000" w:themeColor="text1"/>
        </w:rPr>
        <w:t>asjakohane majandustegevusteade või tegevusloa taotlus</w:t>
      </w:r>
      <w:r>
        <w:rPr>
          <w:color w:val="000000" w:themeColor="text1"/>
        </w:rPr>
        <w:t>.</w:t>
      </w:r>
      <w:r>
        <w:t xml:space="preserve"> </w:t>
      </w:r>
      <w:r w:rsidR="003D06BF">
        <w:t>Nii majandustegevusteade kui ka tegevusloa</w:t>
      </w:r>
      <w:r w:rsidR="003D06BF" w:rsidRPr="00E019DA">
        <w:t xml:space="preserve"> taotlus esitatakse üks kord.</w:t>
      </w:r>
    </w:p>
    <w:p w14:paraId="4D64A11F" w14:textId="77777777" w:rsidR="001C6A32" w:rsidRDefault="001C6A32" w:rsidP="001C6A32">
      <w:pPr>
        <w:jc w:val="both"/>
      </w:pPr>
    </w:p>
    <w:p w14:paraId="28860206" w14:textId="77777777" w:rsidR="00B75598" w:rsidRDefault="00B75598" w:rsidP="00B75598">
      <w:pPr>
        <w:adjustRightInd w:val="0"/>
        <w:ind w:right="-79"/>
        <w:jc w:val="both"/>
        <w:rPr>
          <w:b/>
        </w:rPr>
      </w:pPr>
      <w:r>
        <w:rPr>
          <w:b/>
        </w:rPr>
        <w:t>4.3. Mõju riigiasutuste töökorraldusele, sealhulgas järelevalvele</w:t>
      </w:r>
    </w:p>
    <w:p w14:paraId="380858E7" w14:textId="77777777" w:rsidR="00AE5823" w:rsidRDefault="00AE5823" w:rsidP="00B75598">
      <w:pPr>
        <w:adjustRightInd w:val="0"/>
        <w:ind w:right="-79"/>
        <w:jc w:val="both"/>
        <w:rPr>
          <w:b/>
        </w:rPr>
      </w:pPr>
    </w:p>
    <w:p w14:paraId="33475CA7" w14:textId="77777777" w:rsidR="00653F95" w:rsidRDefault="00653F95" w:rsidP="00653F95">
      <w:pPr>
        <w:jc w:val="both"/>
      </w:pPr>
      <w:r>
        <w:rPr>
          <w:rFonts w:cs="Arial"/>
        </w:rPr>
        <w:t xml:space="preserve">Osaliselt on sihtrühm ka </w:t>
      </w:r>
      <w:r w:rsidR="003D06BF">
        <w:rPr>
          <w:rFonts w:cs="Arial"/>
        </w:rPr>
        <w:t xml:space="preserve">PTA </w:t>
      </w:r>
      <w:r>
        <w:rPr>
          <w:rFonts w:cs="Arial"/>
        </w:rPr>
        <w:t xml:space="preserve">järelevalveametnikud, kelle töökoormus võib </w:t>
      </w:r>
      <w:r w:rsidR="003D06BF">
        <w:rPr>
          <w:rFonts w:cs="Arial"/>
        </w:rPr>
        <w:t>uute loataotluste menetlemise tõttu</w:t>
      </w:r>
      <w:r w:rsidR="00AE5823">
        <w:rPr>
          <w:rFonts w:cs="Arial"/>
        </w:rPr>
        <w:t xml:space="preserve"> </w:t>
      </w:r>
      <w:r w:rsidR="00441DE8">
        <w:rPr>
          <w:rFonts w:cs="Arial"/>
        </w:rPr>
        <w:t xml:space="preserve">ajutiselt </w:t>
      </w:r>
      <w:r w:rsidR="00AE5823">
        <w:rPr>
          <w:rFonts w:cs="Arial"/>
        </w:rPr>
        <w:t>kasvada</w:t>
      </w:r>
      <w:r w:rsidR="003D06BF">
        <w:rPr>
          <w:rFonts w:cs="Arial"/>
        </w:rPr>
        <w:t>.</w:t>
      </w:r>
      <w:r w:rsidR="008C1567">
        <w:rPr>
          <w:rFonts w:cs="Arial"/>
        </w:rPr>
        <w:t xml:space="preserve"> </w:t>
      </w:r>
      <w:r w:rsidR="008C1567">
        <w:t>Samuti võib nende töökoormus ajutiselt kasvada, kuna käitlejaid teavitatakse teatamis- ja loakohustuse muudatustest ning tegevusalade nimetuste muutumisest.</w:t>
      </w:r>
      <w:r w:rsidR="003D06BF">
        <w:rPr>
          <w:rFonts w:cs="Arial"/>
        </w:rPr>
        <w:t xml:space="preserve"> </w:t>
      </w:r>
      <w:r>
        <w:rPr>
          <w:bCs/>
        </w:rPr>
        <w:t xml:space="preserve">Kuna teatavate tegevusalade puhul uusi nõudeid ei kehtestata, vaid </w:t>
      </w:r>
      <w:r>
        <w:t xml:space="preserve">muudetakse tegevusala nimetusi, saab </w:t>
      </w:r>
      <w:r w:rsidR="003D06BF">
        <w:rPr>
          <w:bCs/>
        </w:rPr>
        <w:t>PTA</w:t>
      </w:r>
      <w:r>
        <w:rPr>
          <w:bCs/>
        </w:rPr>
        <w:t xml:space="preserve"> </w:t>
      </w:r>
      <w:r w:rsidR="0093528B">
        <w:rPr>
          <w:bCs/>
        </w:rPr>
        <w:t xml:space="preserve">registrit </w:t>
      </w:r>
      <w:r w:rsidR="00870DB7">
        <w:rPr>
          <w:bCs/>
        </w:rPr>
        <w:t>korrastada</w:t>
      </w:r>
      <w:r w:rsidR="00A55496">
        <w:rPr>
          <w:bCs/>
        </w:rPr>
        <w:t>,</w:t>
      </w:r>
      <w:r w:rsidR="00870DB7">
        <w:rPr>
          <w:bCs/>
        </w:rPr>
        <w:t xml:space="preserve"> </w:t>
      </w:r>
      <w:r>
        <w:rPr>
          <w:bCs/>
        </w:rPr>
        <w:t>kasutad</w:t>
      </w:r>
      <w:r w:rsidR="00870DB7">
        <w:rPr>
          <w:bCs/>
        </w:rPr>
        <w:t>es</w:t>
      </w:r>
      <w:r>
        <w:rPr>
          <w:bCs/>
        </w:rPr>
        <w:t xml:space="preserve"> </w:t>
      </w:r>
      <w:r w:rsidR="00870DB7">
        <w:rPr>
          <w:bCs/>
        </w:rPr>
        <w:t>selles</w:t>
      </w:r>
      <w:r>
        <w:rPr>
          <w:bCs/>
        </w:rPr>
        <w:t xml:space="preserve"> olevaid andmeid</w:t>
      </w:r>
      <w:r>
        <w:t xml:space="preserve">. </w:t>
      </w:r>
      <w:r w:rsidR="002E53F7">
        <w:t xml:space="preserve">Sööda, sealhulgas ravimsööda käitlemise üle teevad kontrolli kolm PTA järelevalveametnikku ja </w:t>
      </w:r>
      <w:r w:rsidR="003D5E50">
        <w:t>kõik kolm tegelevad ka tegevusloa taotluse menetlusega</w:t>
      </w:r>
      <w:r w:rsidR="002E53F7">
        <w:t>.</w:t>
      </w:r>
    </w:p>
    <w:p w14:paraId="53BA3820" w14:textId="77777777" w:rsidR="00653F95" w:rsidRDefault="00653F95" w:rsidP="00653F95">
      <w:pPr>
        <w:jc w:val="both"/>
      </w:pPr>
    </w:p>
    <w:p w14:paraId="2A080C14" w14:textId="77777777" w:rsidR="00653F95" w:rsidRDefault="00653F95" w:rsidP="00653F95">
      <w:pPr>
        <w:jc w:val="both"/>
      </w:pPr>
      <w:r w:rsidRPr="004D7568">
        <w:t>Kuna määruse rakendamisega</w:t>
      </w:r>
      <w:r>
        <w:t xml:space="preserve"> eeldatavasti ei kaasne olulisi mõjusid, ei ole vajadust koostada Vabariigi Valitsuse 22. detsembri 2011. a määruse nr 180 „Hea õigusloome ja normitehnika eeskiri</w:t>
      </w:r>
      <w:r>
        <w:rPr>
          <w:lang w:eastAsia="et-EE"/>
        </w:rPr>
        <w:t>”</w:t>
      </w:r>
      <w:r>
        <w:t xml:space="preserve"> § 65 lõike 2 kohast mõjude analüüsi aruannet. </w:t>
      </w:r>
    </w:p>
    <w:p w14:paraId="11C416B0" w14:textId="77777777" w:rsidR="00653F95" w:rsidRDefault="00653F95" w:rsidP="00653F95"/>
    <w:p w14:paraId="2AA712FD" w14:textId="77777777" w:rsidR="00653F95" w:rsidRDefault="00653F95" w:rsidP="00653F95">
      <w:pPr>
        <w:jc w:val="both"/>
        <w:rPr>
          <w:b/>
          <w:bCs/>
        </w:rPr>
      </w:pPr>
      <w:r>
        <w:rPr>
          <w:b/>
          <w:bCs/>
        </w:rPr>
        <w:t>5. Määruse rakendamisega seotud tegevused, vajalikud kulud ja määruse rakendamise eeldatavad tulud</w:t>
      </w:r>
    </w:p>
    <w:p w14:paraId="66903E76" w14:textId="77777777" w:rsidR="00653F95" w:rsidRDefault="00653F95" w:rsidP="00653F95">
      <w:pPr>
        <w:jc w:val="both"/>
        <w:rPr>
          <w:b/>
          <w:bCs/>
        </w:rPr>
      </w:pPr>
    </w:p>
    <w:p w14:paraId="46B92ACE" w14:textId="77777777" w:rsidR="00653F95" w:rsidRDefault="00653F95" w:rsidP="00653F95">
      <w:pPr>
        <w:jc w:val="both"/>
        <w:rPr>
          <w:color w:val="000000"/>
        </w:rPr>
      </w:pPr>
      <w:r>
        <w:t>Määruse rakendami</w:t>
      </w:r>
      <w:r w:rsidR="006C68A6">
        <w:t>sega</w:t>
      </w:r>
      <w:r>
        <w:t xml:space="preserve"> ei </w:t>
      </w:r>
      <w:r w:rsidR="006C68A6">
        <w:t xml:space="preserve">kaasne </w:t>
      </w:r>
      <w:r>
        <w:t xml:space="preserve">lisategevusi ega -kulutusi riigieelarve vahenditest, samuti ei kaasne määruse rakendamisega tulusid. </w:t>
      </w:r>
    </w:p>
    <w:p w14:paraId="48ABF6EE" w14:textId="77777777" w:rsidR="00653F95" w:rsidRDefault="00653F95" w:rsidP="00653F95">
      <w:pPr>
        <w:jc w:val="both"/>
        <w:rPr>
          <w:b/>
          <w:bCs/>
        </w:rPr>
      </w:pPr>
    </w:p>
    <w:p w14:paraId="082CD6FD" w14:textId="77777777" w:rsidR="00653F95" w:rsidRDefault="00653F95" w:rsidP="00653F95">
      <w:pPr>
        <w:jc w:val="both"/>
        <w:rPr>
          <w:b/>
          <w:bCs/>
        </w:rPr>
      </w:pPr>
      <w:r w:rsidRPr="004D7568">
        <w:rPr>
          <w:b/>
          <w:bCs/>
        </w:rPr>
        <w:t>6. Määruse</w:t>
      </w:r>
      <w:r>
        <w:rPr>
          <w:b/>
          <w:bCs/>
        </w:rPr>
        <w:t xml:space="preserve"> jõustumine</w:t>
      </w:r>
    </w:p>
    <w:p w14:paraId="3B40692C" w14:textId="77777777" w:rsidR="00653F95" w:rsidRDefault="00653F95" w:rsidP="00653F95">
      <w:pPr>
        <w:jc w:val="both"/>
        <w:rPr>
          <w:b/>
          <w:bCs/>
        </w:rPr>
      </w:pPr>
    </w:p>
    <w:p w14:paraId="310F9ED8" w14:textId="77777777" w:rsidR="005E3F55" w:rsidRPr="00BD7015" w:rsidRDefault="005E3F55" w:rsidP="005E3F55">
      <w:pPr>
        <w:jc w:val="both"/>
      </w:pPr>
      <w:r w:rsidRPr="00BD7015">
        <w:t>Määru</w:t>
      </w:r>
      <w:r>
        <w:t xml:space="preserve">se </w:t>
      </w:r>
      <w:r w:rsidR="004346AB">
        <w:t xml:space="preserve">kavandatud </w:t>
      </w:r>
      <w:r w:rsidR="00A55496">
        <w:t xml:space="preserve">jõustumisaeg on </w:t>
      </w:r>
      <w:r>
        <w:t>2022</w:t>
      </w:r>
      <w:r w:rsidRPr="00BD7015">
        <w:t xml:space="preserve">. aasta 1. </w:t>
      </w:r>
      <w:r>
        <w:t>juul</w:t>
      </w:r>
      <w:r w:rsidRPr="00BD7015">
        <w:t xml:space="preserve">il. </w:t>
      </w:r>
      <w:r w:rsidRPr="005A37D5">
        <w:rPr>
          <w:bCs/>
        </w:rPr>
        <w:t xml:space="preserve">Jõustumise kuupäev on sätestatud arvestusega, et määrus jõustuks ühel ajal </w:t>
      </w:r>
      <w:r>
        <w:t>söödaseaduse muutmise seadusega</w:t>
      </w:r>
      <w:r w:rsidR="00A845A3">
        <w:t xml:space="preserve"> (499 SE), sest </w:t>
      </w:r>
      <w:r w:rsidR="00A1251F">
        <w:t>mit</w:t>
      </w:r>
      <w:r w:rsidR="00E654AA">
        <w:t>u</w:t>
      </w:r>
      <w:r w:rsidR="00A1251F">
        <w:t xml:space="preserve"> </w:t>
      </w:r>
      <w:r w:rsidR="00A845A3">
        <w:t>eelnõus tehtud muudatus</w:t>
      </w:r>
      <w:r w:rsidR="00E654AA">
        <w:t>t</w:t>
      </w:r>
      <w:r w:rsidR="00A845A3">
        <w:t xml:space="preserve"> tulene</w:t>
      </w:r>
      <w:r w:rsidR="00E654AA">
        <w:t>b</w:t>
      </w:r>
      <w:r w:rsidR="00A845A3">
        <w:t xml:space="preserve"> nimetatud seadusest</w:t>
      </w:r>
      <w:r>
        <w:t>.</w:t>
      </w:r>
    </w:p>
    <w:p w14:paraId="3F4D807D" w14:textId="77777777" w:rsidR="00653F95" w:rsidRDefault="00653F95" w:rsidP="00653F95">
      <w:pPr>
        <w:jc w:val="both"/>
      </w:pPr>
    </w:p>
    <w:p w14:paraId="1B4701D8" w14:textId="77777777" w:rsidR="00653F95" w:rsidRDefault="00653F95" w:rsidP="00653F95">
      <w:pPr>
        <w:jc w:val="both"/>
        <w:rPr>
          <w:b/>
          <w:bCs/>
        </w:rPr>
      </w:pPr>
      <w:r>
        <w:rPr>
          <w:b/>
          <w:bCs/>
        </w:rPr>
        <w:t>7. Eelnõu kooskõlastamine, huvirühmade kaasamine ja avalik konsultatsioon</w:t>
      </w:r>
    </w:p>
    <w:p w14:paraId="0E1E8B6C" w14:textId="77777777" w:rsidR="00653F95" w:rsidRDefault="00653F95" w:rsidP="00653F95">
      <w:pPr>
        <w:jc w:val="both"/>
        <w:rPr>
          <w:bCs/>
        </w:rPr>
      </w:pPr>
    </w:p>
    <w:p w14:paraId="44D75A71" w14:textId="77777777" w:rsidR="00297F70" w:rsidRDefault="00653F95" w:rsidP="00653F95">
      <w:pPr>
        <w:jc w:val="both"/>
        <w:rPr>
          <w:lang w:eastAsia="et-EE"/>
        </w:rPr>
      </w:pPr>
      <w:r>
        <w:t>Määruse eelnõu esitatakse kooskõlastamiseks Majandus- ja Kommunikatsiooniministeeriumile</w:t>
      </w:r>
      <w:r>
        <w:rPr>
          <w:lang w:eastAsia="et-EE"/>
        </w:rPr>
        <w:t xml:space="preserve"> </w:t>
      </w:r>
      <w:r w:rsidR="00E211DE">
        <w:rPr>
          <w:lang w:eastAsia="et-EE"/>
        </w:rPr>
        <w:t xml:space="preserve">ning Sotsiaalministeeriumile </w:t>
      </w:r>
      <w:r>
        <w:rPr>
          <w:lang w:eastAsia="et-EE"/>
        </w:rPr>
        <w:t>eelnõude infosüsteemi EIS kaudu</w:t>
      </w:r>
      <w:r w:rsidR="00297F70">
        <w:rPr>
          <w:lang w:eastAsia="et-EE"/>
        </w:rPr>
        <w:t>.</w:t>
      </w:r>
    </w:p>
    <w:p w14:paraId="14B58156" w14:textId="77777777" w:rsidR="00297F70" w:rsidRDefault="00297F70" w:rsidP="00653F95">
      <w:pPr>
        <w:jc w:val="both"/>
        <w:rPr>
          <w:lang w:eastAsia="et-EE"/>
        </w:rPr>
      </w:pPr>
    </w:p>
    <w:p w14:paraId="122F8362" w14:textId="77777777" w:rsidR="00653F95" w:rsidRDefault="00297F70" w:rsidP="00653F95">
      <w:pPr>
        <w:jc w:val="both"/>
      </w:pPr>
      <w:r>
        <w:t xml:space="preserve">Eelnõu esitatakse arvamuse </w:t>
      </w:r>
      <w:r w:rsidRPr="00A77597">
        <w:t>and</w:t>
      </w:r>
      <w:r w:rsidRPr="00C82373">
        <w:t>miseks</w:t>
      </w:r>
      <w:r>
        <w:t xml:space="preserve"> Põllumajandus- ja Toiduametile ning erialaorganisatsioonidest Eesti Põllumajandus-Kaubanduskojale, Eestimaa Talupidajate Keskliidule, Eesti Tõuloomakasvatajate Ühistule, </w:t>
      </w:r>
      <w:r w:rsidR="00E9670D">
        <w:t xml:space="preserve">Eesti Tõusigade Aretusühistule, </w:t>
      </w:r>
      <w:r>
        <w:t xml:space="preserve">Eesti Linnukasvatajate Seltsile, </w:t>
      </w:r>
      <w:r w:rsidRPr="008720AE">
        <w:t>Eesti Kalaliidule</w:t>
      </w:r>
      <w:r>
        <w:t xml:space="preserve"> </w:t>
      </w:r>
      <w:r w:rsidR="002B4DEC">
        <w:t>ning</w:t>
      </w:r>
      <w:r w:rsidRPr="008720AE">
        <w:t xml:space="preserve"> </w:t>
      </w:r>
      <w:r w:rsidRPr="00671D7D">
        <w:t>Eesti Kala- ja Vähikasvataj</w:t>
      </w:r>
      <w:r>
        <w:t>a</w:t>
      </w:r>
      <w:r w:rsidRPr="00671D7D">
        <w:t>te Lii</w:t>
      </w:r>
      <w:r>
        <w:t>dule.</w:t>
      </w:r>
    </w:p>
    <w:p w14:paraId="43CFF07D" w14:textId="77777777" w:rsidR="00653F95" w:rsidRDefault="00653F95" w:rsidP="002D6483"/>
    <w:sectPr w:rsidR="00653F95" w:rsidSect="000E33E3">
      <w:pgSz w:w="11906" w:h="16838"/>
      <w:pgMar w:top="567" w:right="851" w:bottom="992" w:left="179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63D7" w14:textId="77777777" w:rsidR="009734F2" w:rsidRDefault="009734F2" w:rsidP="00653F95">
      <w:r>
        <w:separator/>
      </w:r>
    </w:p>
  </w:endnote>
  <w:endnote w:type="continuationSeparator" w:id="0">
    <w:p w14:paraId="603C57C4" w14:textId="77777777" w:rsidR="009734F2" w:rsidRDefault="009734F2" w:rsidP="0065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ED5C" w14:textId="77777777" w:rsidR="009734F2" w:rsidRDefault="009734F2" w:rsidP="00653F95">
      <w:r>
        <w:separator/>
      </w:r>
    </w:p>
  </w:footnote>
  <w:footnote w:type="continuationSeparator" w:id="0">
    <w:p w14:paraId="3700D31E" w14:textId="77777777" w:rsidR="009734F2" w:rsidRDefault="009734F2" w:rsidP="00653F95">
      <w:r>
        <w:continuationSeparator/>
      </w:r>
    </w:p>
  </w:footnote>
  <w:footnote w:id="1">
    <w:p w14:paraId="2C7AF3FF" w14:textId="77777777" w:rsidR="00BB0A48" w:rsidRDefault="00BB0A48" w:rsidP="00596065">
      <w:pPr>
        <w:pStyle w:val="FootnoteText"/>
        <w:jc w:val="both"/>
      </w:pPr>
      <w:r>
        <w:rPr>
          <w:rStyle w:val="FootnoteReference"/>
        </w:rPr>
        <w:footnoteRef/>
      </w:r>
      <w:r>
        <w:t xml:space="preserve"> </w:t>
      </w:r>
      <w:hyperlink r:id="rId1" w:history="1">
        <w:r w:rsidRPr="00D07466">
          <w:rPr>
            <w:rStyle w:val="Hyperlink"/>
          </w:rPr>
          <w:t>Euroop</w:t>
        </w:r>
        <w:r w:rsidR="00235C14">
          <w:rPr>
            <w:rStyle w:val="Hyperlink"/>
          </w:rPr>
          <w:t>a Parlamendi ja nõukogu määrus</w:t>
        </w:r>
        <w:r w:rsidRPr="00D07466">
          <w:rPr>
            <w:rStyle w:val="Hyperlink"/>
          </w:rPr>
          <w:t xml:space="preserve"> (EL) 2019/4, mis käsitleb ravimsööda tootmist, turuleviimist ja kasutamist, millega muudetakse Euroopa Parlamendi ja nõukogu määrust (EÜ) nr 183/2005 ning tunnistatakse kehtetuks nõukogu direktiiv 90/167/EMÜ (</w:t>
        </w:r>
        <w:r w:rsidRPr="00D07466">
          <w:rPr>
            <w:rStyle w:val="Hyperlink"/>
            <w:shd w:val="clear" w:color="auto" w:fill="FFFFFF"/>
          </w:rPr>
          <w:t>ELT L 4, 07.01.2019, lk 1</w:t>
        </w:r>
        <w:r w:rsidRPr="00D07466">
          <w:rPr>
            <w:rStyle w:val="Hyperlink"/>
          </w:rPr>
          <w:t>–</w:t>
        </w:r>
        <w:r w:rsidRPr="00D07466">
          <w:rPr>
            <w:rStyle w:val="Hyperlink"/>
            <w:shd w:val="clear" w:color="auto" w:fill="FFFFFF"/>
          </w:rPr>
          <w:t>23)</w:t>
        </w:r>
      </w:hyperlink>
      <w:r w:rsidR="00D07466">
        <w:t>.</w:t>
      </w:r>
    </w:p>
  </w:footnote>
  <w:footnote w:id="2">
    <w:p w14:paraId="03EF37D3" w14:textId="77777777" w:rsidR="00B22EFA" w:rsidRDefault="00B22EFA">
      <w:pPr>
        <w:pStyle w:val="FootnoteText"/>
      </w:pPr>
      <w:r>
        <w:rPr>
          <w:rStyle w:val="FootnoteReference"/>
        </w:rPr>
        <w:footnoteRef/>
      </w:r>
      <w:r>
        <w:t xml:space="preserve"> H</w:t>
      </w:r>
      <w:r w:rsidRPr="00B22EFA">
        <w:t>aldusalaülene tervikprotsessi kaardistus ja analüüs, sh protsesside parandusvõimaluste leidmine</w:t>
      </w:r>
      <w:r w:rsidR="00291A2F">
        <w:t>.</w:t>
      </w:r>
    </w:p>
  </w:footnote>
  <w:footnote w:id="3">
    <w:p w14:paraId="0B3D3BA3" w14:textId="77777777" w:rsidR="00064294" w:rsidRDefault="00064294" w:rsidP="00064294">
      <w:pPr>
        <w:pStyle w:val="FootnoteText"/>
      </w:pPr>
      <w:r>
        <w:rPr>
          <w:rStyle w:val="FootnoteReference"/>
        </w:rPr>
        <w:footnoteRef/>
      </w:r>
      <w:r>
        <w:t xml:space="preserve"> </w:t>
      </w:r>
      <w:hyperlink r:id="rId2" w:history="1">
        <w:r w:rsidRPr="00AF7398">
          <w:rPr>
            <w:rStyle w:val="Hyperlink"/>
          </w:rPr>
          <w:t>Euroopa Parlamendi ja nõukogu määrus (EÜ) nr 183/2005, millega kehtestatakse söödahügieeni nõuded (ELT L 035, 08.02.</w:t>
        </w:r>
        <w:r w:rsidR="007E2461">
          <w:rPr>
            <w:rStyle w:val="Hyperlink"/>
          </w:rPr>
          <w:t>2005,</w:t>
        </w:r>
        <w:r w:rsidRPr="00AF7398">
          <w:rPr>
            <w:rStyle w:val="Hyperlink"/>
          </w:rPr>
          <w:t xml:space="preserve"> lk 1–22</w:t>
        </w:r>
      </w:hyperlink>
      <w:r w:rsidRPr="0085548B">
        <w:t>)</w:t>
      </w:r>
      <w:r>
        <w:t>.</w:t>
      </w:r>
    </w:p>
  </w:footnote>
  <w:footnote w:id="4">
    <w:p w14:paraId="47258ADC" w14:textId="77777777" w:rsidR="00E42113" w:rsidRDefault="00E42113" w:rsidP="00E42113">
      <w:pPr>
        <w:pStyle w:val="FootnoteText"/>
      </w:pPr>
      <w:r>
        <w:rPr>
          <w:rStyle w:val="FootnoteReference"/>
        </w:rPr>
        <w:footnoteRef/>
      </w:r>
      <w:r>
        <w:t xml:space="preserve"> </w:t>
      </w:r>
      <w:hyperlink r:id="rId3" w:history="1">
        <w:r w:rsidRPr="00FC172A">
          <w:rPr>
            <w:rStyle w:val="Hyperlink"/>
          </w:rPr>
          <w:t>Euroo</w:t>
        </w:r>
        <w:r>
          <w:rPr>
            <w:rStyle w:val="Hyperlink"/>
          </w:rPr>
          <w:t>pa Parlamendi ja nõukogu määrus</w:t>
        </w:r>
        <w:r w:rsidRPr="00FC172A">
          <w:rPr>
            <w:rStyle w:val="Hyperlink"/>
          </w:rPr>
          <w:t xml:space="preserve"> (EÜ) nr 1831/2003 loomasöötades kasutatavate söödalisandite kohta (ELT L 268, 18.10.2003, lk 29–43)</w:t>
        </w:r>
      </w:hyperlink>
      <w:r>
        <w:rPr>
          <w:color w:val="000000"/>
        </w:rPr>
        <w:t>.</w:t>
      </w:r>
    </w:p>
  </w:footnote>
  <w:footnote w:id="5">
    <w:p w14:paraId="064CE351" w14:textId="77777777" w:rsidR="004261D9" w:rsidRDefault="004261D9" w:rsidP="00DB1BFD">
      <w:pPr>
        <w:pStyle w:val="FootnoteText"/>
        <w:jc w:val="both"/>
      </w:pPr>
      <w:r>
        <w:rPr>
          <w:rStyle w:val="FootnoteReference"/>
        </w:rPr>
        <w:footnoteRef/>
      </w:r>
      <w:r>
        <w:t xml:space="preserve"> </w:t>
      </w:r>
      <w:hyperlink r:id="rId4" w:history="1">
        <w:r w:rsidRPr="00DA6141">
          <w:rPr>
            <w:rStyle w:val="Hyperlink"/>
          </w:rPr>
          <w:t>Euroopa Parlamendi ja nõukogu määrus (EÜ) nr 767/2009 sööda turuleviimise ja kasutamise kohta, millega</w:t>
        </w:r>
        <w:r w:rsidR="00DB1BFD">
          <w:rPr>
            <w:rStyle w:val="Hyperlink"/>
          </w:rPr>
          <w:t xml:space="preserve"> </w:t>
        </w:r>
        <w:r w:rsidRPr="00DA6141">
          <w:rPr>
            <w:rStyle w:val="Hyperlink"/>
          </w:rPr>
          <w:t>muudetakse Euroopa Parlamendi ja nõukogu määrust (EÜ) nr 1831/2003 ning tunnistatakse kehtetuks nõukogu</w:t>
        </w:r>
        <w:r w:rsidR="00DB1BFD">
          <w:rPr>
            <w:rStyle w:val="Hyperlink"/>
          </w:rPr>
          <w:t xml:space="preserve"> </w:t>
        </w:r>
        <w:r w:rsidRPr="00DA6141">
          <w:rPr>
            <w:rStyle w:val="Hyperlink"/>
          </w:rPr>
          <w:t>direktiivid 79/373/EMÜ, 82/471/EMÜ, 83/228/EMÜ, 93/74/EMÜ, 93/113/EÜ ja 96/25/EÜ, komisjoni direktiiv</w:t>
        </w:r>
        <w:r w:rsidR="00DB1BFD">
          <w:rPr>
            <w:rStyle w:val="Hyperlink"/>
          </w:rPr>
          <w:t xml:space="preserve"> </w:t>
        </w:r>
        <w:r w:rsidRPr="00DA6141">
          <w:rPr>
            <w:rStyle w:val="Hyperlink"/>
          </w:rPr>
          <w:t>80/511/EMÜ ning komisjoni otsus 2004/217/EÜ (ELT L 229, 01.09.2009, lk 1–28)</w:t>
        </w:r>
      </w:hyperlink>
      <w:r>
        <w:t>.</w:t>
      </w:r>
    </w:p>
  </w:footnote>
  <w:footnote w:id="6">
    <w:p w14:paraId="4EB95DDC" w14:textId="77777777" w:rsidR="005E160C" w:rsidRPr="00692F64" w:rsidRDefault="005E160C" w:rsidP="005E160C">
      <w:pPr>
        <w:pStyle w:val="FootnoteText"/>
        <w:jc w:val="both"/>
      </w:pPr>
      <w:r w:rsidRPr="00692F64">
        <w:rPr>
          <w:rStyle w:val="FootnoteReference"/>
        </w:rPr>
        <w:footnoteRef/>
      </w:r>
      <w:r w:rsidRPr="00692F64">
        <w:t xml:space="preserve"> </w:t>
      </w:r>
      <w:hyperlink r:id="rId5" w:history="1">
        <w:r w:rsidRPr="00692F64">
          <w:rPr>
            <w:rStyle w:val="Hyperlink"/>
          </w:rPr>
          <w:t>Euroopa Parlamendi ja nõukogu määrus (EÜ) nr 1069/2009, milles sätestatakse muuks otstarbeks kui inimtoiduks ettenähtud loomsete kõrvalsaaduste ja nendest saadud toodete tervise-eeskirjad ning tunnistatakse kehtetuks määrus (EÜ) nr 1774/2002 (ELT L 300, 14.11.2009, lk 1–33)</w:t>
        </w:r>
      </w:hyperlink>
      <w:r w:rsidRPr="00692F64">
        <w:t>.</w:t>
      </w:r>
    </w:p>
  </w:footnote>
  <w:footnote w:id="7">
    <w:p w14:paraId="3852AD0B" w14:textId="77777777" w:rsidR="005E160C" w:rsidRDefault="005E160C" w:rsidP="005E160C">
      <w:pPr>
        <w:pStyle w:val="FootnoteText"/>
        <w:jc w:val="both"/>
      </w:pPr>
      <w:r w:rsidRPr="00692F64">
        <w:rPr>
          <w:rStyle w:val="FootnoteReference"/>
        </w:rPr>
        <w:footnoteRef/>
      </w:r>
      <w:r w:rsidRPr="00692F64">
        <w:t xml:space="preserve"> </w:t>
      </w:r>
      <w:hyperlink r:id="rId6" w:history="1">
        <w:r w:rsidRPr="00692F64">
          <w:rPr>
            <w:rStyle w:val="Hyperlink"/>
          </w:rPr>
          <w:t>Komisjoni määrus (EL) nr 142/2011, millega rakendatakse Euroopa Parlamendi ja nõukogu määrust (EÜ) nr</w:t>
        </w:r>
        <w:r w:rsidR="001B3A7F">
          <w:rPr>
            <w:rStyle w:val="Hyperlink"/>
          </w:rPr>
          <w:t> </w:t>
        </w:r>
        <w:r w:rsidRPr="00692F64">
          <w:rPr>
            <w:rStyle w:val="Hyperlink"/>
          </w:rPr>
          <w:t>1069/2009, milles sätestatakse muuks otstarbeks kui inimtoiduks ettenähtud loomsete kõrvalsaaduste ja nendest saadud toodete tervise-eeskirjad, ja nõukogu direktiivi 97/78/EÜ seoses teatavate selle direktiivi alusel piiril toimuvast veterinaarkontrollist vabastatud proovide ja näidistega (ELT L 54, 26.02.2011, lk 1–254)</w:t>
        </w:r>
      </w:hyperlink>
      <w:r w:rsidRPr="00692F6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12C3E1E"/>
    <w:multiLevelType w:val="hybridMultilevel"/>
    <w:tmpl w:val="7AA21C6C"/>
    <w:lvl w:ilvl="0" w:tplc="04250011">
      <w:start w:val="1"/>
      <w:numFmt w:val="decimal"/>
      <w:lvlText w:val="%1)"/>
      <w:lvlJc w:val="left"/>
      <w:pPr>
        <w:ind w:left="644" w:hanging="360"/>
      </w:pPr>
    </w:lvl>
    <w:lvl w:ilvl="1" w:tplc="04250019">
      <w:start w:val="1"/>
      <w:numFmt w:val="lowerLetter"/>
      <w:lvlText w:val="%2."/>
      <w:lvlJc w:val="left"/>
      <w:pPr>
        <w:ind w:left="1364" w:hanging="360"/>
      </w:pPr>
    </w:lvl>
    <w:lvl w:ilvl="2" w:tplc="0425001B">
      <w:start w:val="1"/>
      <w:numFmt w:val="lowerRoman"/>
      <w:lvlText w:val="%3."/>
      <w:lvlJc w:val="right"/>
      <w:pPr>
        <w:ind w:left="2084" w:hanging="180"/>
      </w:pPr>
    </w:lvl>
    <w:lvl w:ilvl="3" w:tplc="0425000F">
      <w:start w:val="1"/>
      <w:numFmt w:val="decimal"/>
      <w:lvlText w:val="%4."/>
      <w:lvlJc w:val="left"/>
      <w:pPr>
        <w:ind w:left="2804" w:hanging="360"/>
      </w:pPr>
    </w:lvl>
    <w:lvl w:ilvl="4" w:tplc="04250019">
      <w:start w:val="1"/>
      <w:numFmt w:val="lowerLetter"/>
      <w:lvlText w:val="%5."/>
      <w:lvlJc w:val="left"/>
      <w:pPr>
        <w:ind w:left="3524" w:hanging="360"/>
      </w:pPr>
    </w:lvl>
    <w:lvl w:ilvl="5" w:tplc="0425001B">
      <w:start w:val="1"/>
      <w:numFmt w:val="lowerRoman"/>
      <w:lvlText w:val="%6."/>
      <w:lvlJc w:val="right"/>
      <w:pPr>
        <w:ind w:left="4244" w:hanging="180"/>
      </w:pPr>
    </w:lvl>
    <w:lvl w:ilvl="6" w:tplc="0425000F">
      <w:start w:val="1"/>
      <w:numFmt w:val="decimal"/>
      <w:lvlText w:val="%7."/>
      <w:lvlJc w:val="left"/>
      <w:pPr>
        <w:ind w:left="4964" w:hanging="360"/>
      </w:pPr>
    </w:lvl>
    <w:lvl w:ilvl="7" w:tplc="04250019">
      <w:start w:val="1"/>
      <w:numFmt w:val="lowerLetter"/>
      <w:lvlText w:val="%8."/>
      <w:lvlJc w:val="left"/>
      <w:pPr>
        <w:ind w:left="5684" w:hanging="360"/>
      </w:pPr>
    </w:lvl>
    <w:lvl w:ilvl="8" w:tplc="0425001B">
      <w:start w:val="1"/>
      <w:numFmt w:val="lowerRoman"/>
      <w:lvlText w:val="%9."/>
      <w:lvlJc w:val="right"/>
      <w:pPr>
        <w:ind w:left="6404" w:hanging="180"/>
      </w:pPr>
    </w:lvl>
  </w:abstractNum>
  <w:abstractNum w:abstractNumId="2" w15:restartNumberingAfterBreak="0">
    <w:nsid w:val="793423B0"/>
    <w:multiLevelType w:val="hybridMultilevel"/>
    <w:tmpl w:val="300475A0"/>
    <w:lvl w:ilvl="0" w:tplc="F22C47A6">
      <w:start w:val="3"/>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038B"/>
    <w:rsid w:val="00002857"/>
    <w:rsid w:val="00003C39"/>
    <w:rsid w:val="0000658D"/>
    <w:rsid w:val="00007826"/>
    <w:rsid w:val="00015584"/>
    <w:rsid w:val="0001687F"/>
    <w:rsid w:val="00017A49"/>
    <w:rsid w:val="0002333F"/>
    <w:rsid w:val="000370E6"/>
    <w:rsid w:val="00037B1E"/>
    <w:rsid w:val="00046B01"/>
    <w:rsid w:val="00047910"/>
    <w:rsid w:val="00047D21"/>
    <w:rsid w:val="00057AC2"/>
    <w:rsid w:val="00064294"/>
    <w:rsid w:val="000766F1"/>
    <w:rsid w:val="000772AD"/>
    <w:rsid w:val="00080432"/>
    <w:rsid w:val="00082596"/>
    <w:rsid w:val="0008438B"/>
    <w:rsid w:val="000859A3"/>
    <w:rsid w:val="00091492"/>
    <w:rsid w:val="000925F1"/>
    <w:rsid w:val="00093A5B"/>
    <w:rsid w:val="000A1CE0"/>
    <w:rsid w:val="000A54FC"/>
    <w:rsid w:val="000B56B7"/>
    <w:rsid w:val="000C07EE"/>
    <w:rsid w:val="000C6F58"/>
    <w:rsid w:val="000D2ECB"/>
    <w:rsid w:val="000D42EF"/>
    <w:rsid w:val="000E1071"/>
    <w:rsid w:val="000E33E3"/>
    <w:rsid w:val="000E5E5E"/>
    <w:rsid w:val="000F155A"/>
    <w:rsid w:val="000F3329"/>
    <w:rsid w:val="000F3352"/>
    <w:rsid w:val="000F63AD"/>
    <w:rsid w:val="00102680"/>
    <w:rsid w:val="00103C37"/>
    <w:rsid w:val="0012213E"/>
    <w:rsid w:val="00124851"/>
    <w:rsid w:val="00126BC6"/>
    <w:rsid w:val="001276C7"/>
    <w:rsid w:val="00135063"/>
    <w:rsid w:val="0013607E"/>
    <w:rsid w:val="00137DB8"/>
    <w:rsid w:val="0014370A"/>
    <w:rsid w:val="00143B1B"/>
    <w:rsid w:val="0015486A"/>
    <w:rsid w:val="00157AC7"/>
    <w:rsid w:val="00172B08"/>
    <w:rsid w:val="00173BAB"/>
    <w:rsid w:val="00180D5F"/>
    <w:rsid w:val="00180FBC"/>
    <w:rsid w:val="00183209"/>
    <w:rsid w:val="00187188"/>
    <w:rsid w:val="00190BE0"/>
    <w:rsid w:val="00195B55"/>
    <w:rsid w:val="001A0469"/>
    <w:rsid w:val="001A29C3"/>
    <w:rsid w:val="001A5308"/>
    <w:rsid w:val="001B3A7F"/>
    <w:rsid w:val="001C0BBA"/>
    <w:rsid w:val="001C393F"/>
    <w:rsid w:val="001C6A32"/>
    <w:rsid w:val="001D3274"/>
    <w:rsid w:val="001D7439"/>
    <w:rsid w:val="001E1DF6"/>
    <w:rsid w:val="001E40D0"/>
    <w:rsid w:val="001F2BE5"/>
    <w:rsid w:val="00200CD7"/>
    <w:rsid w:val="0020257D"/>
    <w:rsid w:val="00210476"/>
    <w:rsid w:val="00220AE5"/>
    <w:rsid w:val="002218A9"/>
    <w:rsid w:val="00223B50"/>
    <w:rsid w:val="002248BB"/>
    <w:rsid w:val="00235C14"/>
    <w:rsid w:val="00237F04"/>
    <w:rsid w:val="00237F4E"/>
    <w:rsid w:val="002508E7"/>
    <w:rsid w:val="0025237C"/>
    <w:rsid w:val="002658D6"/>
    <w:rsid w:val="00270A68"/>
    <w:rsid w:val="00271854"/>
    <w:rsid w:val="00273A06"/>
    <w:rsid w:val="00274044"/>
    <w:rsid w:val="002824AF"/>
    <w:rsid w:val="00286AB5"/>
    <w:rsid w:val="002901EF"/>
    <w:rsid w:val="00291A2F"/>
    <w:rsid w:val="0029227E"/>
    <w:rsid w:val="00293576"/>
    <w:rsid w:val="00296952"/>
    <w:rsid w:val="00297F70"/>
    <w:rsid w:val="002A1C2C"/>
    <w:rsid w:val="002A3C29"/>
    <w:rsid w:val="002A671E"/>
    <w:rsid w:val="002A693C"/>
    <w:rsid w:val="002B02B3"/>
    <w:rsid w:val="002B0E48"/>
    <w:rsid w:val="002B1724"/>
    <w:rsid w:val="002B4DEC"/>
    <w:rsid w:val="002B5F69"/>
    <w:rsid w:val="002D5FD0"/>
    <w:rsid w:val="002D6483"/>
    <w:rsid w:val="002E53F7"/>
    <w:rsid w:val="002E719E"/>
    <w:rsid w:val="002E777E"/>
    <w:rsid w:val="002F050F"/>
    <w:rsid w:val="002F6142"/>
    <w:rsid w:val="00302BA4"/>
    <w:rsid w:val="00305472"/>
    <w:rsid w:val="003065AA"/>
    <w:rsid w:val="00311097"/>
    <w:rsid w:val="00311ABA"/>
    <w:rsid w:val="00331849"/>
    <w:rsid w:val="00337206"/>
    <w:rsid w:val="003441F2"/>
    <w:rsid w:val="00355798"/>
    <w:rsid w:val="00357465"/>
    <w:rsid w:val="00363B49"/>
    <w:rsid w:val="00365F58"/>
    <w:rsid w:val="003676A8"/>
    <w:rsid w:val="00373278"/>
    <w:rsid w:val="00384199"/>
    <w:rsid w:val="00385B74"/>
    <w:rsid w:val="0038700D"/>
    <w:rsid w:val="003870E7"/>
    <w:rsid w:val="00390FF8"/>
    <w:rsid w:val="00392EAA"/>
    <w:rsid w:val="00395C46"/>
    <w:rsid w:val="003A359B"/>
    <w:rsid w:val="003A62D7"/>
    <w:rsid w:val="003B70AB"/>
    <w:rsid w:val="003C534E"/>
    <w:rsid w:val="003C6B84"/>
    <w:rsid w:val="003D06BF"/>
    <w:rsid w:val="003D299B"/>
    <w:rsid w:val="003D5E50"/>
    <w:rsid w:val="003E7B2E"/>
    <w:rsid w:val="003F04F8"/>
    <w:rsid w:val="003F12D4"/>
    <w:rsid w:val="00403597"/>
    <w:rsid w:val="00403BCA"/>
    <w:rsid w:val="00407D21"/>
    <w:rsid w:val="004161C2"/>
    <w:rsid w:val="00417B47"/>
    <w:rsid w:val="00420939"/>
    <w:rsid w:val="0042316B"/>
    <w:rsid w:val="004241C2"/>
    <w:rsid w:val="004244BA"/>
    <w:rsid w:val="00424CEA"/>
    <w:rsid w:val="00425D71"/>
    <w:rsid w:val="004261D9"/>
    <w:rsid w:val="00426AAF"/>
    <w:rsid w:val="004270A2"/>
    <w:rsid w:val="00431AF2"/>
    <w:rsid w:val="00433C01"/>
    <w:rsid w:val="004346AB"/>
    <w:rsid w:val="00441DE8"/>
    <w:rsid w:val="00444FBD"/>
    <w:rsid w:val="00452A4B"/>
    <w:rsid w:val="004549BF"/>
    <w:rsid w:val="00463020"/>
    <w:rsid w:val="004639EA"/>
    <w:rsid w:val="004710DC"/>
    <w:rsid w:val="0047262F"/>
    <w:rsid w:val="00475D09"/>
    <w:rsid w:val="00480A4A"/>
    <w:rsid w:val="004875D9"/>
    <w:rsid w:val="00487B74"/>
    <w:rsid w:val="0049714D"/>
    <w:rsid w:val="004A4039"/>
    <w:rsid w:val="004B2543"/>
    <w:rsid w:val="004C0855"/>
    <w:rsid w:val="004D1C8B"/>
    <w:rsid w:val="004D33AE"/>
    <w:rsid w:val="004D355C"/>
    <w:rsid w:val="004D402E"/>
    <w:rsid w:val="004D4795"/>
    <w:rsid w:val="004D7568"/>
    <w:rsid w:val="004E2CAC"/>
    <w:rsid w:val="004F4523"/>
    <w:rsid w:val="004F7772"/>
    <w:rsid w:val="005035FD"/>
    <w:rsid w:val="005069E3"/>
    <w:rsid w:val="005112F1"/>
    <w:rsid w:val="00512137"/>
    <w:rsid w:val="00514298"/>
    <w:rsid w:val="005177A5"/>
    <w:rsid w:val="0052062C"/>
    <w:rsid w:val="00541F89"/>
    <w:rsid w:val="0054466C"/>
    <w:rsid w:val="005541EF"/>
    <w:rsid w:val="00554E23"/>
    <w:rsid w:val="005560E8"/>
    <w:rsid w:val="00561A8E"/>
    <w:rsid w:val="00574ABC"/>
    <w:rsid w:val="00576175"/>
    <w:rsid w:val="00594B58"/>
    <w:rsid w:val="00596065"/>
    <w:rsid w:val="005A37D5"/>
    <w:rsid w:val="005A4142"/>
    <w:rsid w:val="005A4281"/>
    <w:rsid w:val="005A7D78"/>
    <w:rsid w:val="005B1F32"/>
    <w:rsid w:val="005B302E"/>
    <w:rsid w:val="005B3CF9"/>
    <w:rsid w:val="005B4C58"/>
    <w:rsid w:val="005B653D"/>
    <w:rsid w:val="005C02FC"/>
    <w:rsid w:val="005C043E"/>
    <w:rsid w:val="005C4578"/>
    <w:rsid w:val="005C6F08"/>
    <w:rsid w:val="005C72DD"/>
    <w:rsid w:val="005D0B41"/>
    <w:rsid w:val="005D165F"/>
    <w:rsid w:val="005D2751"/>
    <w:rsid w:val="005E0BB3"/>
    <w:rsid w:val="005E160C"/>
    <w:rsid w:val="005E291C"/>
    <w:rsid w:val="005E3F55"/>
    <w:rsid w:val="005F0EF3"/>
    <w:rsid w:val="005F4C57"/>
    <w:rsid w:val="005F565E"/>
    <w:rsid w:val="005F6D6E"/>
    <w:rsid w:val="0060581A"/>
    <w:rsid w:val="00612C2D"/>
    <w:rsid w:val="00615BE9"/>
    <w:rsid w:val="00617447"/>
    <w:rsid w:val="00622396"/>
    <w:rsid w:val="00632952"/>
    <w:rsid w:val="0064058A"/>
    <w:rsid w:val="006431FA"/>
    <w:rsid w:val="00643B45"/>
    <w:rsid w:val="00647F1B"/>
    <w:rsid w:val="00653926"/>
    <w:rsid w:val="00653F95"/>
    <w:rsid w:val="00661636"/>
    <w:rsid w:val="00670DA7"/>
    <w:rsid w:val="0067525C"/>
    <w:rsid w:val="00677F9F"/>
    <w:rsid w:val="00685680"/>
    <w:rsid w:val="00690A4D"/>
    <w:rsid w:val="00690B45"/>
    <w:rsid w:val="00691F2A"/>
    <w:rsid w:val="00692F64"/>
    <w:rsid w:val="006A3DD7"/>
    <w:rsid w:val="006A4A50"/>
    <w:rsid w:val="006A6EBC"/>
    <w:rsid w:val="006A7011"/>
    <w:rsid w:val="006B1786"/>
    <w:rsid w:val="006B31E8"/>
    <w:rsid w:val="006B4310"/>
    <w:rsid w:val="006B6FA6"/>
    <w:rsid w:val="006C68A6"/>
    <w:rsid w:val="006D70A4"/>
    <w:rsid w:val="006E6C9B"/>
    <w:rsid w:val="006F0C61"/>
    <w:rsid w:val="006F4954"/>
    <w:rsid w:val="0070021E"/>
    <w:rsid w:val="00707C1B"/>
    <w:rsid w:val="007142CF"/>
    <w:rsid w:val="00714FEF"/>
    <w:rsid w:val="00726BA1"/>
    <w:rsid w:val="00727538"/>
    <w:rsid w:val="00733111"/>
    <w:rsid w:val="00736942"/>
    <w:rsid w:val="007372ED"/>
    <w:rsid w:val="0074599D"/>
    <w:rsid w:val="00745D74"/>
    <w:rsid w:val="00746010"/>
    <w:rsid w:val="0075180E"/>
    <w:rsid w:val="00763BDA"/>
    <w:rsid w:val="00764CF8"/>
    <w:rsid w:val="0076724A"/>
    <w:rsid w:val="00772263"/>
    <w:rsid w:val="00773187"/>
    <w:rsid w:val="00785E1E"/>
    <w:rsid w:val="00791C21"/>
    <w:rsid w:val="007921A8"/>
    <w:rsid w:val="00792B40"/>
    <w:rsid w:val="007948DD"/>
    <w:rsid w:val="0079578E"/>
    <w:rsid w:val="00796710"/>
    <w:rsid w:val="007B589A"/>
    <w:rsid w:val="007C72EC"/>
    <w:rsid w:val="007D122D"/>
    <w:rsid w:val="007D359B"/>
    <w:rsid w:val="007D5AA1"/>
    <w:rsid w:val="007E2461"/>
    <w:rsid w:val="007E33CB"/>
    <w:rsid w:val="007E60CC"/>
    <w:rsid w:val="007F435D"/>
    <w:rsid w:val="007F4CAA"/>
    <w:rsid w:val="007F5CDA"/>
    <w:rsid w:val="00804FF3"/>
    <w:rsid w:val="00810105"/>
    <w:rsid w:val="00826210"/>
    <w:rsid w:val="00834E09"/>
    <w:rsid w:val="008413D9"/>
    <w:rsid w:val="008418EA"/>
    <w:rsid w:val="00845775"/>
    <w:rsid w:val="008470CD"/>
    <w:rsid w:val="0084733C"/>
    <w:rsid w:val="008477F0"/>
    <w:rsid w:val="00855181"/>
    <w:rsid w:val="00860AF0"/>
    <w:rsid w:val="008671B6"/>
    <w:rsid w:val="00870DB7"/>
    <w:rsid w:val="00871FCA"/>
    <w:rsid w:val="008721EA"/>
    <w:rsid w:val="00875D02"/>
    <w:rsid w:val="008841DB"/>
    <w:rsid w:val="00885540"/>
    <w:rsid w:val="008859EE"/>
    <w:rsid w:val="00885D2E"/>
    <w:rsid w:val="00887917"/>
    <w:rsid w:val="00891793"/>
    <w:rsid w:val="008A141D"/>
    <w:rsid w:val="008A36C3"/>
    <w:rsid w:val="008A764D"/>
    <w:rsid w:val="008B0B01"/>
    <w:rsid w:val="008B57E7"/>
    <w:rsid w:val="008C1567"/>
    <w:rsid w:val="008C264B"/>
    <w:rsid w:val="008D1E0C"/>
    <w:rsid w:val="008D3B28"/>
    <w:rsid w:val="008D49D9"/>
    <w:rsid w:val="008D6D9B"/>
    <w:rsid w:val="008E6BD8"/>
    <w:rsid w:val="008E71A1"/>
    <w:rsid w:val="008F02E3"/>
    <w:rsid w:val="008F2071"/>
    <w:rsid w:val="008F3063"/>
    <w:rsid w:val="008F3EB9"/>
    <w:rsid w:val="008F6E19"/>
    <w:rsid w:val="0090035D"/>
    <w:rsid w:val="009106E5"/>
    <w:rsid w:val="009126A1"/>
    <w:rsid w:val="009128C2"/>
    <w:rsid w:val="009219FE"/>
    <w:rsid w:val="00923397"/>
    <w:rsid w:val="009279DE"/>
    <w:rsid w:val="0093219F"/>
    <w:rsid w:val="0093411E"/>
    <w:rsid w:val="009347EA"/>
    <w:rsid w:val="0093528B"/>
    <w:rsid w:val="00936A47"/>
    <w:rsid w:val="009444E6"/>
    <w:rsid w:val="00945F62"/>
    <w:rsid w:val="00947482"/>
    <w:rsid w:val="0096022A"/>
    <w:rsid w:val="00970E69"/>
    <w:rsid w:val="00971BAE"/>
    <w:rsid w:val="009734F2"/>
    <w:rsid w:val="00974868"/>
    <w:rsid w:val="009751F9"/>
    <w:rsid w:val="0097626E"/>
    <w:rsid w:val="0098532E"/>
    <w:rsid w:val="00986FE8"/>
    <w:rsid w:val="00991511"/>
    <w:rsid w:val="00992515"/>
    <w:rsid w:val="009A2E1E"/>
    <w:rsid w:val="009A4E4A"/>
    <w:rsid w:val="009A5EDA"/>
    <w:rsid w:val="009B07DC"/>
    <w:rsid w:val="009B2BAD"/>
    <w:rsid w:val="009B43AF"/>
    <w:rsid w:val="009B67E1"/>
    <w:rsid w:val="009B7165"/>
    <w:rsid w:val="009B762C"/>
    <w:rsid w:val="009B79A5"/>
    <w:rsid w:val="009C0FED"/>
    <w:rsid w:val="009D25AF"/>
    <w:rsid w:val="009D4EAC"/>
    <w:rsid w:val="009D70DA"/>
    <w:rsid w:val="009E0A94"/>
    <w:rsid w:val="009E4E65"/>
    <w:rsid w:val="009F3414"/>
    <w:rsid w:val="00A01114"/>
    <w:rsid w:val="00A04B68"/>
    <w:rsid w:val="00A06C7C"/>
    <w:rsid w:val="00A070C9"/>
    <w:rsid w:val="00A118B6"/>
    <w:rsid w:val="00A11F99"/>
    <w:rsid w:val="00A1251F"/>
    <w:rsid w:val="00A17C38"/>
    <w:rsid w:val="00A2273D"/>
    <w:rsid w:val="00A2660C"/>
    <w:rsid w:val="00A30FA9"/>
    <w:rsid w:val="00A36CA9"/>
    <w:rsid w:val="00A36E77"/>
    <w:rsid w:val="00A45674"/>
    <w:rsid w:val="00A46D2E"/>
    <w:rsid w:val="00A501B6"/>
    <w:rsid w:val="00A54D9F"/>
    <w:rsid w:val="00A55496"/>
    <w:rsid w:val="00A56D89"/>
    <w:rsid w:val="00A57025"/>
    <w:rsid w:val="00A655E5"/>
    <w:rsid w:val="00A669A6"/>
    <w:rsid w:val="00A735D5"/>
    <w:rsid w:val="00A76CA0"/>
    <w:rsid w:val="00A845A3"/>
    <w:rsid w:val="00A8590F"/>
    <w:rsid w:val="00A85959"/>
    <w:rsid w:val="00AA2B23"/>
    <w:rsid w:val="00AA476B"/>
    <w:rsid w:val="00AB08BC"/>
    <w:rsid w:val="00AB4FC2"/>
    <w:rsid w:val="00AC09B5"/>
    <w:rsid w:val="00AD35CB"/>
    <w:rsid w:val="00AE45BD"/>
    <w:rsid w:val="00AE5823"/>
    <w:rsid w:val="00B13339"/>
    <w:rsid w:val="00B152ED"/>
    <w:rsid w:val="00B17D36"/>
    <w:rsid w:val="00B20D41"/>
    <w:rsid w:val="00B22EFA"/>
    <w:rsid w:val="00B23999"/>
    <w:rsid w:val="00B23E7F"/>
    <w:rsid w:val="00B26109"/>
    <w:rsid w:val="00B427E4"/>
    <w:rsid w:val="00B514A9"/>
    <w:rsid w:val="00B514B3"/>
    <w:rsid w:val="00B53516"/>
    <w:rsid w:val="00B54531"/>
    <w:rsid w:val="00B75598"/>
    <w:rsid w:val="00B831FD"/>
    <w:rsid w:val="00B92087"/>
    <w:rsid w:val="00B9214D"/>
    <w:rsid w:val="00B96DA9"/>
    <w:rsid w:val="00BA1815"/>
    <w:rsid w:val="00BA3075"/>
    <w:rsid w:val="00BA6A82"/>
    <w:rsid w:val="00BA7C7A"/>
    <w:rsid w:val="00BB0A48"/>
    <w:rsid w:val="00BB4DF9"/>
    <w:rsid w:val="00BB59B0"/>
    <w:rsid w:val="00BC0939"/>
    <w:rsid w:val="00BC18BE"/>
    <w:rsid w:val="00BC41D8"/>
    <w:rsid w:val="00BC64DB"/>
    <w:rsid w:val="00BD0D87"/>
    <w:rsid w:val="00BD4C4C"/>
    <w:rsid w:val="00BD7015"/>
    <w:rsid w:val="00BD79D0"/>
    <w:rsid w:val="00BE27DA"/>
    <w:rsid w:val="00BE7455"/>
    <w:rsid w:val="00C044BD"/>
    <w:rsid w:val="00C252F4"/>
    <w:rsid w:val="00C26B07"/>
    <w:rsid w:val="00C26C3D"/>
    <w:rsid w:val="00C36317"/>
    <w:rsid w:val="00C408E5"/>
    <w:rsid w:val="00C44C60"/>
    <w:rsid w:val="00C45CD6"/>
    <w:rsid w:val="00C47B2B"/>
    <w:rsid w:val="00C506EA"/>
    <w:rsid w:val="00C52069"/>
    <w:rsid w:val="00C55EE1"/>
    <w:rsid w:val="00C57A31"/>
    <w:rsid w:val="00C6135F"/>
    <w:rsid w:val="00C72598"/>
    <w:rsid w:val="00C74D2A"/>
    <w:rsid w:val="00C7516C"/>
    <w:rsid w:val="00C75308"/>
    <w:rsid w:val="00C769A0"/>
    <w:rsid w:val="00C8071D"/>
    <w:rsid w:val="00C82AFC"/>
    <w:rsid w:val="00C87580"/>
    <w:rsid w:val="00CA1199"/>
    <w:rsid w:val="00CA1DBE"/>
    <w:rsid w:val="00CA2B6D"/>
    <w:rsid w:val="00CA49B2"/>
    <w:rsid w:val="00CB1F65"/>
    <w:rsid w:val="00CB4F5F"/>
    <w:rsid w:val="00CC2284"/>
    <w:rsid w:val="00CC30D3"/>
    <w:rsid w:val="00CC5221"/>
    <w:rsid w:val="00CD1DE1"/>
    <w:rsid w:val="00CD2EFA"/>
    <w:rsid w:val="00CD5DE3"/>
    <w:rsid w:val="00CE1824"/>
    <w:rsid w:val="00CE2E2C"/>
    <w:rsid w:val="00CE3514"/>
    <w:rsid w:val="00CF12D5"/>
    <w:rsid w:val="00CF5F3A"/>
    <w:rsid w:val="00D0421B"/>
    <w:rsid w:val="00D06934"/>
    <w:rsid w:val="00D07466"/>
    <w:rsid w:val="00D07A0E"/>
    <w:rsid w:val="00D10D76"/>
    <w:rsid w:val="00D12E0E"/>
    <w:rsid w:val="00D13BFF"/>
    <w:rsid w:val="00D141E8"/>
    <w:rsid w:val="00D155EE"/>
    <w:rsid w:val="00D203E7"/>
    <w:rsid w:val="00D24190"/>
    <w:rsid w:val="00D26FA2"/>
    <w:rsid w:val="00D26FC1"/>
    <w:rsid w:val="00D32245"/>
    <w:rsid w:val="00D33D0E"/>
    <w:rsid w:val="00D40B9B"/>
    <w:rsid w:val="00D445BB"/>
    <w:rsid w:val="00D55E13"/>
    <w:rsid w:val="00D63D13"/>
    <w:rsid w:val="00D6511B"/>
    <w:rsid w:val="00D67DB3"/>
    <w:rsid w:val="00D70C00"/>
    <w:rsid w:val="00D71DF2"/>
    <w:rsid w:val="00D813FD"/>
    <w:rsid w:val="00D8329C"/>
    <w:rsid w:val="00D92746"/>
    <w:rsid w:val="00D92BDF"/>
    <w:rsid w:val="00D93A7B"/>
    <w:rsid w:val="00DA4F14"/>
    <w:rsid w:val="00DA5B01"/>
    <w:rsid w:val="00DA6141"/>
    <w:rsid w:val="00DB1BFD"/>
    <w:rsid w:val="00DB266D"/>
    <w:rsid w:val="00DB5929"/>
    <w:rsid w:val="00DC0924"/>
    <w:rsid w:val="00DC5DDE"/>
    <w:rsid w:val="00DD56D9"/>
    <w:rsid w:val="00DD7C53"/>
    <w:rsid w:val="00DE2EAB"/>
    <w:rsid w:val="00DE7C5A"/>
    <w:rsid w:val="00DF0858"/>
    <w:rsid w:val="00DF186B"/>
    <w:rsid w:val="00DF4A23"/>
    <w:rsid w:val="00E00F02"/>
    <w:rsid w:val="00E037C5"/>
    <w:rsid w:val="00E15D9D"/>
    <w:rsid w:val="00E16244"/>
    <w:rsid w:val="00E211DE"/>
    <w:rsid w:val="00E214D8"/>
    <w:rsid w:val="00E23D77"/>
    <w:rsid w:val="00E277DC"/>
    <w:rsid w:val="00E31524"/>
    <w:rsid w:val="00E37E7A"/>
    <w:rsid w:val="00E42113"/>
    <w:rsid w:val="00E4785D"/>
    <w:rsid w:val="00E50789"/>
    <w:rsid w:val="00E51C19"/>
    <w:rsid w:val="00E52BCC"/>
    <w:rsid w:val="00E62E62"/>
    <w:rsid w:val="00E654AA"/>
    <w:rsid w:val="00E66876"/>
    <w:rsid w:val="00E67C5B"/>
    <w:rsid w:val="00E715C6"/>
    <w:rsid w:val="00E73476"/>
    <w:rsid w:val="00E80A53"/>
    <w:rsid w:val="00E83E4C"/>
    <w:rsid w:val="00E865F7"/>
    <w:rsid w:val="00E8715F"/>
    <w:rsid w:val="00E92079"/>
    <w:rsid w:val="00E930C9"/>
    <w:rsid w:val="00E9670D"/>
    <w:rsid w:val="00EA1736"/>
    <w:rsid w:val="00EA17B1"/>
    <w:rsid w:val="00EA2388"/>
    <w:rsid w:val="00EA2D5B"/>
    <w:rsid w:val="00EA403A"/>
    <w:rsid w:val="00EB3053"/>
    <w:rsid w:val="00EB4F21"/>
    <w:rsid w:val="00EC7BBA"/>
    <w:rsid w:val="00ED3791"/>
    <w:rsid w:val="00EE5CF7"/>
    <w:rsid w:val="00EF7BD9"/>
    <w:rsid w:val="00F208FB"/>
    <w:rsid w:val="00F21DF0"/>
    <w:rsid w:val="00F243D4"/>
    <w:rsid w:val="00F34454"/>
    <w:rsid w:val="00F37B0C"/>
    <w:rsid w:val="00F5226D"/>
    <w:rsid w:val="00F5243C"/>
    <w:rsid w:val="00F52A8C"/>
    <w:rsid w:val="00F53FD4"/>
    <w:rsid w:val="00F57A7A"/>
    <w:rsid w:val="00F6562B"/>
    <w:rsid w:val="00F707C4"/>
    <w:rsid w:val="00F7230F"/>
    <w:rsid w:val="00F72F6A"/>
    <w:rsid w:val="00F72F71"/>
    <w:rsid w:val="00F85B29"/>
    <w:rsid w:val="00F90077"/>
    <w:rsid w:val="00F967B8"/>
    <w:rsid w:val="00F96805"/>
    <w:rsid w:val="00F97F8D"/>
    <w:rsid w:val="00FA5B1E"/>
    <w:rsid w:val="00FA7F23"/>
    <w:rsid w:val="00FB7510"/>
    <w:rsid w:val="00FB78D5"/>
    <w:rsid w:val="00FC172A"/>
    <w:rsid w:val="00FC4983"/>
    <w:rsid w:val="00FC5628"/>
    <w:rsid w:val="00FD0A7D"/>
    <w:rsid w:val="00FD1D55"/>
    <w:rsid w:val="00FD4424"/>
    <w:rsid w:val="00FE15F6"/>
    <w:rsid w:val="00FE2217"/>
    <w:rsid w:val="00FE72F9"/>
    <w:rsid w:val="00FE7B24"/>
    <w:rsid w:val="00FF0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9DDA4"/>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55"/>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99"/>
    <w:qFormat/>
    <w:rsid w:val="000766F1"/>
    <w:rPr>
      <w:i/>
      <w:iCs/>
    </w:rPr>
  </w:style>
  <w:style w:type="character" w:styleId="Hyperlink">
    <w:name w:val="Hyperlink"/>
    <w:basedOn w:val="DefaultParagraphFont"/>
    <w:unhideWhenUsed/>
    <w:rsid w:val="00653F95"/>
    <w:rPr>
      <w:color w:val="0000FF" w:themeColor="hyperlink"/>
      <w:u w:val="single"/>
    </w:rPr>
  </w:style>
  <w:style w:type="paragraph" w:styleId="FootnoteText">
    <w:name w:val="footnote text"/>
    <w:aliases w:val="FA,Fußnote,FA Fußnotentext,Allmärkuse tekst TNR 10 (A põhilaad)"/>
    <w:basedOn w:val="Normal"/>
    <w:link w:val="FootnoteTextChar"/>
    <w:uiPriority w:val="99"/>
    <w:unhideWhenUsed/>
    <w:qFormat/>
    <w:rsid w:val="00653F95"/>
    <w:rPr>
      <w:sz w:val="20"/>
      <w:szCs w:val="20"/>
    </w:rPr>
  </w:style>
  <w:style w:type="character" w:customStyle="1" w:styleId="FootnoteTextChar">
    <w:name w:val="Footnote Text Char"/>
    <w:aliases w:val="FA Char,Fußnote Char,FA Fußnotentext Char,Allmärkuse tekst TNR 10 (A põhilaad) Char"/>
    <w:basedOn w:val="DefaultParagraphFont"/>
    <w:link w:val="FootnoteText"/>
    <w:uiPriority w:val="99"/>
    <w:rsid w:val="00653F95"/>
    <w:rPr>
      <w:rFonts w:ascii="Times New Roman" w:hAnsi="Times New Roman"/>
      <w:lang w:eastAsia="en-US"/>
    </w:rPr>
  </w:style>
  <w:style w:type="character" w:styleId="FootnoteReference">
    <w:name w:val="footnote reference"/>
    <w:aliases w:val="Footnote symbol,4_G,Footnotes refss,Appel note de bas de p.,Appel note de bas de p,SUPERS,Nota,Footnote"/>
    <w:basedOn w:val="DefaultParagraphFont"/>
    <w:uiPriority w:val="99"/>
    <w:unhideWhenUsed/>
    <w:qFormat/>
    <w:rsid w:val="00653F95"/>
    <w:rPr>
      <w:vertAlign w:val="superscript"/>
    </w:rPr>
  </w:style>
  <w:style w:type="character" w:styleId="Strong">
    <w:name w:val="Strong"/>
    <w:basedOn w:val="DefaultParagraphFont"/>
    <w:uiPriority w:val="22"/>
    <w:qFormat/>
    <w:rsid w:val="00653F95"/>
    <w:rPr>
      <w:b/>
      <w:bCs/>
    </w:rPr>
  </w:style>
  <w:style w:type="paragraph" w:customStyle="1" w:styleId="AK">
    <w:name w:val="AK"/>
    <w:autoRedefine/>
    <w:qFormat/>
    <w:rsid w:val="00690B45"/>
    <w:pPr>
      <w:keepNext/>
      <w:keepLines/>
      <w:suppressLineNumbers/>
    </w:pPr>
    <w:rPr>
      <w:rFonts w:ascii="Times New Roman" w:eastAsia="SimSun" w:hAnsi="Times New Roman"/>
      <w:bCs/>
      <w:kern w:val="1"/>
      <w:lang w:eastAsia="zh-CN" w:bidi="hi-IN"/>
    </w:rPr>
  </w:style>
  <w:style w:type="paragraph" w:customStyle="1" w:styleId="Default">
    <w:name w:val="Default"/>
    <w:rsid w:val="00643B45"/>
    <w:pPr>
      <w:autoSpaceDE w:val="0"/>
      <w:autoSpaceDN w:val="0"/>
      <w:adjustRightInd w:val="0"/>
    </w:pPr>
    <w:rPr>
      <w:rFonts w:ascii="Times New Roman" w:hAnsi="Times New Roman"/>
      <w:color w:val="000000"/>
      <w:sz w:val="24"/>
      <w:szCs w:val="24"/>
    </w:rPr>
  </w:style>
  <w:style w:type="paragraph" w:customStyle="1" w:styleId="Paragrahv">
    <w:name w:val="Paragrahv"/>
    <w:basedOn w:val="Normal"/>
    <w:qFormat/>
    <w:rsid w:val="00A735D5"/>
    <w:pPr>
      <w:autoSpaceDE/>
      <w:autoSpaceDN/>
      <w:jc w:val="both"/>
    </w:pPr>
    <w:rPr>
      <w:rFonts w:eastAsia="SimSun" w:cs="Mangal"/>
      <w:b/>
      <w:kern w:val="1"/>
      <w:lang w:eastAsia="zh-CN" w:bidi="hi-IN"/>
    </w:rPr>
  </w:style>
  <w:style w:type="character" w:styleId="FollowedHyperlink">
    <w:name w:val="FollowedHyperlink"/>
    <w:basedOn w:val="DefaultParagraphFont"/>
    <w:semiHidden/>
    <w:unhideWhenUsed/>
    <w:rsid w:val="00DB1BFD"/>
    <w:rPr>
      <w:color w:val="800080" w:themeColor="followedHyperlink"/>
      <w:u w:val="single"/>
    </w:rPr>
  </w:style>
  <w:style w:type="character" w:customStyle="1" w:styleId="tekst4">
    <w:name w:val="tekst4"/>
    <w:basedOn w:val="DefaultParagraphFont"/>
    <w:uiPriority w:val="99"/>
    <w:rsid w:val="004E2CAC"/>
  </w:style>
  <w:style w:type="character" w:customStyle="1" w:styleId="NumberingSymbols">
    <w:name w:val="Numbering Symbols"/>
    <w:rsid w:val="004E2CAC"/>
  </w:style>
  <w:style w:type="character" w:styleId="CommentReference">
    <w:name w:val="annotation reference"/>
    <w:basedOn w:val="DefaultParagraphFont"/>
    <w:semiHidden/>
    <w:unhideWhenUsed/>
    <w:rsid w:val="00FD1D55"/>
    <w:rPr>
      <w:sz w:val="16"/>
      <w:szCs w:val="16"/>
    </w:rPr>
  </w:style>
  <w:style w:type="paragraph" w:styleId="CommentText">
    <w:name w:val="annotation text"/>
    <w:basedOn w:val="Normal"/>
    <w:link w:val="CommentTextChar"/>
    <w:uiPriority w:val="99"/>
    <w:unhideWhenUsed/>
    <w:rsid w:val="00FD1D55"/>
    <w:rPr>
      <w:sz w:val="20"/>
      <w:szCs w:val="20"/>
    </w:rPr>
  </w:style>
  <w:style w:type="character" w:customStyle="1" w:styleId="CommentTextChar">
    <w:name w:val="Comment Text Char"/>
    <w:basedOn w:val="DefaultParagraphFont"/>
    <w:link w:val="CommentText"/>
    <w:uiPriority w:val="99"/>
    <w:rsid w:val="00FD1D55"/>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FD1D55"/>
    <w:rPr>
      <w:b/>
      <w:bCs/>
    </w:rPr>
  </w:style>
  <w:style w:type="character" w:customStyle="1" w:styleId="CommentSubjectChar">
    <w:name w:val="Comment Subject Char"/>
    <w:basedOn w:val="CommentTextChar"/>
    <w:link w:val="CommentSubject"/>
    <w:semiHidden/>
    <w:rsid w:val="00FD1D55"/>
    <w:rPr>
      <w:rFonts w:ascii="Times New Roman" w:hAnsi="Times New Roman"/>
      <w:b/>
      <w:bCs/>
      <w:lang w:eastAsia="en-US"/>
    </w:rPr>
  </w:style>
  <w:style w:type="paragraph" w:styleId="BalloonText">
    <w:name w:val="Balloon Text"/>
    <w:basedOn w:val="Normal"/>
    <w:link w:val="BalloonTextChar"/>
    <w:semiHidden/>
    <w:unhideWhenUsed/>
    <w:rsid w:val="00FD1D55"/>
    <w:rPr>
      <w:rFonts w:ascii="Segoe UI" w:hAnsi="Segoe UI" w:cs="Segoe UI"/>
      <w:sz w:val="18"/>
      <w:szCs w:val="18"/>
    </w:rPr>
  </w:style>
  <w:style w:type="character" w:customStyle="1" w:styleId="BalloonTextChar">
    <w:name w:val="Balloon Text Char"/>
    <w:basedOn w:val="DefaultParagraphFont"/>
    <w:link w:val="BalloonText"/>
    <w:semiHidden/>
    <w:rsid w:val="00FD1D55"/>
    <w:rPr>
      <w:rFonts w:ascii="Segoe UI" w:hAnsi="Segoe UI" w:cs="Segoe UI"/>
      <w:sz w:val="18"/>
      <w:szCs w:val="18"/>
      <w:lang w:eastAsia="en-US"/>
    </w:rPr>
  </w:style>
  <w:style w:type="character" w:customStyle="1" w:styleId="italics">
    <w:name w:val="italics"/>
    <w:basedOn w:val="DefaultParagraphFont"/>
    <w:rsid w:val="00E42113"/>
  </w:style>
  <w:style w:type="paragraph" w:styleId="Header">
    <w:name w:val="header"/>
    <w:basedOn w:val="Normal"/>
    <w:link w:val="HeaderChar"/>
    <w:unhideWhenUsed/>
    <w:rsid w:val="006B4310"/>
    <w:pPr>
      <w:tabs>
        <w:tab w:val="center" w:pos="4536"/>
        <w:tab w:val="right" w:pos="9072"/>
      </w:tabs>
    </w:pPr>
  </w:style>
  <w:style w:type="character" w:customStyle="1" w:styleId="HeaderChar">
    <w:name w:val="Header Char"/>
    <w:basedOn w:val="DefaultParagraphFont"/>
    <w:link w:val="Header"/>
    <w:rsid w:val="006B4310"/>
    <w:rPr>
      <w:rFonts w:ascii="Times New Roman" w:hAnsi="Times New Roman"/>
      <w:sz w:val="24"/>
      <w:szCs w:val="24"/>
      <w:lang w:eastAsia="en-US"/>
    </w:rPr>
  </w:style>
  <w:style w:type="paragraph" w:styleId="Footer">
    <w:name w:val="footer"/>
    <w:basedOn w:val="Normal"/>
    <w:link w:val="FooterChar"/>
    <w:unhideWhenUsed/>
    <w:rsid w:val="006B4310"/>
    <w:pPr>
      <w:tabs>
        <w:tab w:val="center" w:pos="4536"/>
        <w:tab w:val="right" w:pos="9072"/>
      </w:tabs>
    </w:pPr>
  </w:style>
  <w:style w:type="character" w:customStyle="1" w:styleId="FooterChar">
    <w:name w:val="Footer Char"/>
    <w:basedOn w:val="DefaultParagraphFont"/>
    <w:link w:val="Footer"/>
    <w:rsid w:val="006B4310"/>
    <w:rPr>
      <w:rFonts w:ascii="Times New Roman" w:hAnsi="Times New Roman"/>
      <w:sz w:val="24"/>
      <w:szCs w:val="24"/>
      <w:lang w:eastAsia="en-US"/>
    </w:rPr>
  </w:style>
  <w:style w:type="character" w:customStyle="1" w:styleId="superscript">
    <w:name w:val="superscript"/>
    <w:basedOn w:val="DefaultParagraphFont"/>
    <w:rsid w:val="0025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373">
      <w:bodyDiv w:val="1"/>
      <w:marLeft w:val="0"/>
      <w:marRight w:val="0"/>
      <w:marTop w:val="0"/>
      <w:marBottom w:val="0"/>
      <w:divBdr>
        <w:top w:val="none" w:sz="0" w:space="0" w:color="auto"/>
        <w:left w:val="none" w:sz="0" w:space="0" w:color="auto"/>
        <w:bottom w:val="none" w:sz="0" w:space="0" w:color="auto"/>
        <w:right w:val="none" w:sz="0" w:space="0" w:color="auto"/>
      </w:divBdr>
    </w:div>
    <w:div w:id="4593995">
      <w:bodyDiv w:val="1"/>
      <w:marLeft w:val="0"/>
      <w:marRight w:val="0"/>
      <w:marTop w:val="0"/>
      <w:marBottom w:val="0"/>
      <w:divBdr>
        <w:top w:val="none" w:sz="0" w:space="0" w:color="auto"/>
        <w:left w:val="none" w:sz="0" w:space="0" w:color="auto"/>
        <w:bottom w:val="none" w:sz="0" w:space="0" w:color="auto"/>
        <w:right w:val="none" w:sz="0" w:space="0" w:color="auto"/>
      </w:divBdr>
    </w:div>
    <w:div w:id="26756085">
      <w:bodyDiv w:val="1"/>
      <w:marLeft w:val="0"/>
      <w:marRight w:val="0"/>
      <w:marTop w:val="0"/>
      <w:marBottom w:val="0"/>
      <w:divBdr>
        <w:top w:val="none" w:sz="0" w:space="0" w:color="auto"/>
        <w:left w:val="none" w:sz="0" w:space="0" w:color="auto"/>
        <w:bottom w:val="none" w:sz="0" w:space="0" w:color="auto"/>
        <w:right w:val="none" w:sz="0" w:space="0" w:color="auto"/>
      </w:divBdr>
    </w:div>
    <w:div w:id="209655609">
      <w:bodyDiv w:val="1"/>
      <w:marLeft w:val="0"/>
      <w:marRight w:val="0"/>
      <w:marTop w:val="0"/>
      <w:marBottom w:val="0"/>
      <w:divBdr>
        <w:top w:val="none" w:sz="0" w:space="0" w:color="auto"/>
        <w:left w:val="none" w:sz="0" w:space="0" w:color="auto"/>
        <w:bottom w:val="none" w:sz="0" w:space="0" w:color="auto"/>
        <w:right w:val="none" w:sz="0" w:space="0" w:color="auto"/>
      </w:divBdr>
    </w:div>
    <w:div w:id="267936130">
      <w:bodyDiv w:val="1"/>
      <w:marLeft w:val="0"/>
      <w:marRight w:val="0"/>
      <w:marTop w:val="0"/>
      <w:marBottom w:val="0"/>
      <w:divBdr>
        <w:top w:val="none" w:sz="0" w:space="0" w:color="auto"/>
        <w:left w:val="none" w:sz="0" w:space="0" w:color="auto"/>
        <w:bottom w:val="none" w:sz="0" w:space="0" w:color="auto"/>
        <w:right w:val="none" w:sz="0" w:space="0" w:color="auto"/>
      </w:divBdr>
    </w:div>
    <w:div w:id="290789888">
      <w:bodyDiv w:val="1"/>
      <w:marLeft w:val="0"/>
      <w:marRight w:val="0"/>
      <w:marTop w:val="0"/>
      <w:marBottom w:val="0"/>
      <w:divBdr>
        <w:top w:val="none" w:sz="0" w:space="0" w:color="auto"/>
        <w:left w:val="none" w:sz="0" w:space="0" w:color="auto"/>
        <w:bottom w:val="none" w:sz="0" w:space="0" w:color="auto"/>
        <w:right w:val="none" w:sz="0" w:space="0" w:color="auto"/>
      </w:divBdr>
    </w:div>
    <w:div w:id="391587649">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36170453">
      <w:bodyDiv w:val="1"/>
      <w:marLeft w:val="0"/>
      <w:marRight w:val="0"/>
      <w:marTop w:val="0"/>
      <w:marBottom w:val="0"/>
      <w:divBdr>
        <w:top w:val="none" w:sz="0" w:space="0" w:color="auto"/>
        <w:left w:val="none" w:sz="0" w:space="0" w:color="auto"/>
        <w:bottom w:val="none" w:sz="0" w:space="0" w:color="auto"/>
        <w:right w:val="none" w:sz="0" w:space="0" w:color="auto"/>
      </w:divBdr>
    </w:div>
    <w:div w:id="862010311">
      <w:bodyDiv w:val="1"/>
      <w:marLeft w:val="0"/>
      <w:marRight w:val="0"/>
      <w:marTop w:val="0"/>
      <w:marBottom w:val="0"/>
      <w:divBdr>
        <w:top w:val="none" w:sz="0" w:space="0" w:color="auto"/>
        <w:left w:val="none" w:sz="0" w:space="0" w:color="auto"/>
        <w:bottom w:val="none" w:sz="0" w:space="0" w:color="auto"/>
        <w:right w:val="none" w:sz="0" w:space="0" w:color="auto"/>
      </w:divBdr>
    </w:div>
    <w:div w:id="917404272">
      <w:bodyDiv w:val="1"/>
      <w:marLeft w:val="0"/>
      <w:marRight w:val="0"/>
      <w:marTop w:val="0"/>
      <w:marBottom w:val="0"/>
      <w:divBdr>
        <w:top w:val="none" w:sz="0" w:space="0" w:color="auto"/>
        <w:left w:val="none" w:sz="0" w:space="0" w:color="auto"/>
        <w:bottom w:val="none" w:sz="0" w:space="0" w:color="auto"/>
        <w:right w:val="none" w:sz="0" w:space="0" w:color="auto"/>
      </w:divBdr>
    </w:div>
    <w:div w:id="1006784232">
      <w:bodyDiv w:val="1"/>
      <w:marLeft w:val="0"/>
      <w:marRight w:val="0"/>
      <w:marTop w:val="0"/>
      <w:marBottom w:val="0"/>
      <w:divBdr>
        <w:top w:val="none" w:sz="0" w:space="0" w:color="auto"/>
        <w:left w:val="none" w:sz="0" w:space="0" w:color="auto"/>
        <w:bottom w:val="none" w:sz="0" w:space="0" w:color="auto"/>
        <w:right w:val="none" w:sz="0" w:space="0" w:color="auto"/>
      </w:divBdr>
    </w:div>
    <w:div w:id="1049037539">
      <w:bodyDiv w:val="1"/>
      <w:marLeft w:val="0"/>
      <w:marRight w:val="0"/>
      <w:marTop w:val="0"/>
      <w:marBottom w:val="0"/>
      <w:divBdr>
        <w:top w:val="none" w:sz="0" w:space="0" w:color="auto"/>
        <w:left w:val="none" w:sz="0" w:space="0" w:color="auto"/>
        <w:bottom w:val="none" w:sz="0" w:space="0" w:color="auto"/>
        <w:right w:val="none" w:sz="0" w:space="0" w:color="auto"/>
      </w:divBdr>
    </w:div>
    <w:div w:id="1109547036">
      <w:bodyDiv w:val="1"/>
      <w:marLeft w:val="0"/>
      <w:marRight w:val="0"/>
      <w:marTop w:val="0"/>
      <w:marBottom w:val="0"/>
      <w:divBdr>
        <w:top w:val="none" w:sz="0" w:space="0" w:color="auto"/>
        <w:left w:val="none" w:sz="0" w:space="0" w:color="auto"/>
        <w:bottom w:val="none" w:sz="0" w:space="0" w:color="auto"/>
        <w:right w:val="none" w:sz="0" w:space="0" w:color="auto"/>
      </w:divBdr>
    </w:div>
    <w:div w:id="1123157307">
      <w:bodyDiv w:val="1"/>
      <w:marLeft w:val="0"/>
      <w:marRight w:val="0"/>
      <w:marTop w:val="0"/>
      <w:marBottom w:val="0"/>
      <w:divBdr>
        <w:top w:val="none" w:sz="0" w:space="0" w:color="auto"/>
        <w:left w:val="none" w:sz="0" w:space="0" w:color="auto"/>
        <w:bottom w:val="none" w:sz="0" w:space="0" w:color="auto"/>
        <w:right w:val="none" w:sz="0" w:space="0" w:color="auto"/>
      </w:divBdr>
    </w:div>
    <w:div w:id="1321814396">
      <w:bodyDiv w:val="1"/>
      <w:marLeft w:val="0"/>
      <w:marRight w:val="0"/>
      <w:marTop w:val="0"/>
      <w:marBottom w:val="0"/>
      <w:divBdr>
        <w:top w:val="none" w:sz="0" w:space="0" w:color="auto"/>
        <w:left w:val="none" w:sz="0" w:space="0" w:color="auto"/>
        <w:bottom w:val="none" w:sz="0" w:space="0" w:color="auto"/>
        <w:right w:val="none" w:sz="0" w:space="0" w:color="auto"/>
      </w:divBdr>
    </w:div>
    <w:div w:id="1437948166">
      <w:bodyDiv w:val="1"/>
      <w:marLeft w:val="0"/>
      <w:marRight w:val="0"/>
      <w:marTop w:val="0"/>
      <w:marBottom w:val="0"/>
      <w:divBdr>
        <w:top w:val="none" w:sz="0" w:space="0" w:color="auto"/>
        <w:left w:val="none" w:sz="0" w:space="0" w:color="auto"/>
        <w:bottom w:val="none" w:sz="0" w:space="0" w:color="auto"/>
        <w:right w:val="none" w:sz="0" w:space="0" w:color="auto"/>
      </w:divBdr>
    </w:div>
    <w:div w:id="1453941903">
      <w:bodyDiv w:val="1"/>
      <w:marLeft w:val="0"/>
      <w:marRight w:val="0"/>
      <w:marTop w:val="0"/>
      <w:marBottom w:val="0"/>
      <w:divBdr>
        <w:top w:val="none" w:sz="0" w:space="0" w:color="auto"/>
        <w:left w:val="none" w:sz="0" w:space="0" w:color="auto"/>
        <w:bottom w:val="none" w:sz="0" w:space="0" w:color="auto"/>
        <w:right w:val="none" w:sz="0" w:space="0" w:color="auto"/>
      </w:divBdr>
    </w:div>
    <w:div w:id="1460338732">
      <w:bodyDiv w:val="1"/>
      <w:marLeft w:val="0"/>
      <w:marRight w:val="0"/>
      <w:marTop w:val="0"/>
      <w:marBottom w:val="0"/>
      <w:divBdr>
        <w:top w:val="none" w:sz="0" w:space="0" w:color="auto"/>
        <w:left w:val="none" w:sz="0" w:space="0" w:color="auto"/>
        <w:bottom w:val="none" w:sz="0" w:space="0" w:color="auto"/>
        <w:right w:val="none" w:sz="0" w:space="0" w:color="auto"/>
      </w:divBdr>
    </w:div>
    <w:div w:id="1484734429">
      <w:bodyDiv w:val="1"/>
      <w:marLeft w:val="0"/>
      <w:marRight w:val="0"/>
      <w:marTop w:val="0"/>
      <w:marBottom w:val="0"/>
      <w:divBdr>
        <w:top w:val="none" w:sz="0" w:space="0" w:color="auto"/>
        <w:left w:val="none" w:sz="0" w:space="0" w:color="auto"/>
        <w:bottom w:val="none" w:sz="0" w:space="0" w:color="auto"/>
        <w:right w:val="none" w:sz="0" w:space="0" w:color="auto"/>
      </w:divBdr>
    </w:div>
    <w:div w:id="1493794084">
      <w:bodyDiv w:val="1"/>
      <w:marLeft w:val="0"/>
      <w:marRight w:val="0"/>
      <w:marTop w:val="0"/>
      <w:marBottom w:val="0"/>
      <w:divBdr>
        <w:top w:val="none" w:sz="0" w:space="0" w:color="auto"/>
        <w:left w:val="none" w:sz="0" w:space="0" w:color="auto"/>
        <w:bottom w:val="none" w:sz="0" w:space="0" w:color="auto"/>
        <w:right w:val="none" w:sz="0" w:space="0" w:color="auto"/>
      </w:divBdr>
    </w:div>
    <w:div w:id="1593932958">
      <w:bodyDiv w:val="1"/>
      <w:marLeft w:val="0"/>
      <w:marRight w:val="0"/>
      <w:marTop w:val="0"/>
      <w:marBottom w:val="0"/>
      <w:divBdr>
        <w:top w:val="none" w:sz="0" w:space="0" w:color="auto"/>
        <w:left w:val="none" w:sz="0" w:space="0" w:color="auto"/>
        <w:bottom w:val="none" w:sz="0" w:space="0" w:color="auto"/>
        <w:right w:val="none" w:sz="0" w:space="0" w:color="auto"/>
      </w:divBdr>
    </w:div>
    <w:div w:id="1603605955">
      <w:bodyDiv w:val="1"/>
      <w:marLeft w:val="0"/>
      <w:marRight w:val="0"/>
      <w:marTop w:val="0"/>
      <w:marBottom w:val="0"/>
      <w:divBdr>
        <w:top w:val="none" w:sz="0" w:space="0" w:color="auto"/>
        <w:left w:val="none" w:sz="0" w:space="0" w:color="auto"/>
        <w:bottom w:val="none" w:sz="0" w:space="0" w:color="auto"/>
        <w:right w:val="none" w:sz="0" w:space="0" w:color="auto"/>
      </w:divBdr>
    </w:div>
    <w:div w:id="1615986870">
      <w:bodyDiv w:val="1"/>
      <w:marLeft w:val="0"/>
      <w:marRight w:val="0"/>
      <w:marTop w:val="0"/>
      <w:marBottom w:val="0"/>
      <w:divBdr>
        <w:top w:val="none" w:sz="0" w:space="0" w:color="auto"/>
        <w:left w:val="none" w:sz="0" w:space="0" w:color="auto"/>
        <w:bottom w:val="none" w:sz="0" w:space="0" w:color="auto"/>
        <w:right w:val="none" w:sz="0" w:space="0" w:color="auto"/>
      </w:divBdr>
    </w:div>
    <w:div w:id="1639843713">
      <w:bodyDiv w:val="1"/>
      <w:marLeft w:val="0"/>
      <w:marRight w:val="0"/>
      <w:marTop w:val="0"/>
      <w:marBottom w:val="0"/>
      <w:divBdr>
        <w:top w:val="none" w:sz="0" w:space="0" w:color="auto"/>
        <w:left w:val="none" w:sz="0" w:space="0" w:color="auto"/>
        <w:bottom w:val="none" w:sz="0" w:space="0" w:color="auto"/>
        <w:right w:val="none" w:sz="0" w:space="0" w:color="auto"/>
      </w:divBdr>
    </w:div>
    <w:div w:id="1650280840">
      <w:bodyDiv w:val="1"/>
      <w:marLeft w:val="0"/>
      <w:marRight w:val="0"/>
      <w:marTop w:val="0"/>
      <w:marBottom w:val="0"/>
      <w:divBdr>
        <w:top w:val="none" w:sz="0" w:space="0" w:color="auto"/>
        <w:left w:val="none" w:sz="0" w:space="0" w:color="auto"/>
        <w:bottom w:val="none" w:sz="0" w:space="0" w:color="auto"/>
        <w:right w:val="none" w:sz="0" w:space="0" w:color="auto"/>
      </w:divBdr>
    </w:div>
    <w:div w:id="1687054930">
      <w:bodyDiv w:val="1"/>
      <w:marLeft w:val="0"/>
      <w:marRight w:val="0"/>
      <w:marTop w:val="0"/>
      <w:marBottom w:val="0"/>
      <w:divBdr>
        <w:top w:val="none" w:sz="0" w:space="0" w:color="auto"/>
        <w:left w:val="none" w:sz="0" w:space="0" w:color="auto"/>
        <w:bottom w:val="none" w:sz="0" w:space="0" w:color="auto"/>
        <w:right w:val="none" w:sz="0" w:space="0" w:color="auto"/>
      </w:divBdr>
    </w:div>
    <w:div w:id="1700819317">
      <w:bodyDiv w:val="1"/>
      <w:marLeft w:val="0"/>
      <w:marRight w:val="0"/>
      <w:marTop w:val="0"/>
      <w:marBottom w:val="0"/>
      <w:divBdr>
        <w:top w:val="none" w:sz="0" w:space="0" w:color="auto"/>
        <w:left w:val="none" w:sz="0" w:space="0" w:color="auto"/>
        <w:bottom w:val="none" w:sz="0" w:space="0" w:color="auto"/>
        <w:right w:val="none" w:sz="0" w:space="0" w:color="auto"/>
      </w:divBdr>
    </w:div>
    <w:div w:id="18693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3A02003R1831-20210327&amp;qid=1648124640381" TargetMode="External"/><Relationship Id="rId2" Type="http://schemas.openxmlformats.org/officeDocument/2006/relationships/hyperlink" Target="https://eur-lex.europa.eu/legal-content/ET/TXT/PDF/?uri=CELEX:02005R0183-20190726&amp;qid=1620996972441&amp;from=ET" TargetMode="External"/><Relationship Id="rId1" Type="http://schemas.openxmlformats.org/officeDocument/2006/relationships/hyperlink" Target="https://eur-lex.europa.eu/legal-content/ET/TXT/?uri=CELEX%3A32019R0004&amp;qid=1647946751210" TargetMode="External"/><Relationship Id="rId6" Type="http://schemas.openxmlformats.org/officeDocument/2006/relationships/hyperlink" Target="https://eur-lex.europa.eu/legal-content/ET/TXT/PDF/?uri=CELEX:02011R0142-20211205&amp;qid=1648405404297&amp;from=ET" TargetMode="External"/><Relationship Id="rId5" Type="http://schemas.openxmlformats.org/officeDocument/2006/relationships/hyperlink" Target="https://eur-lex.europa.eu/legal-content/ET/TXT/PDF/?uri=CELEX:02009R1069-20191214&amp;qid=1648405314379&amp;from=ET" TargetMode="External"/><Relationship Id="rId4" Type="http://schemas.openxmlformats.org/officeDocument/2006/relationships/hyperlink" Target="https://eur-lex.europa.eu/legal-content/ET/TXT/PDF/?uri=CELEX:02009R0767-20181226&amp;qid=1648214562369&amp;fr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CD05-EF03-4DC7-A418-82A30BCE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4205</Words>
  <Characters>24392</Characters>
  <Application>Microsoft Office Word</Application>
  <DocSecurity>0</DocSecurity>
  <Lines>203</Lines>
  <Paragraphs>57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Raili Sillart</dc:creator>
  <cp:lastModifiedBy>Eda Ernes</cp:lastModifiedBy>
  <cp:revision>8</cp:revision>
  <cp:lastPrinted>2014-08-25T10:51:00Z</cp:lastPrinted>
  <dcterms:created xsi:type="dcterms:W3CDTF">2022-05-30T11:42:00Z</dcterms:created>
  <dcterms:modified xsi:type="dcterms:W3CDTF">2022-06-02T07:41:00Z</dcterms:modified>
</cp:coreProperties>
</file>