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DC96" w14:textId="77777777" w:rsidR="004D33AE" w:rsidRPr="002A578D" w:rsidRDefault="004D33AE" w:rsidP="0060581A">
      <w:pPr>
        <w:keepNext/>
        <w:keepLines/>
        <w:suppressLineNumbers/>
        <w:autoSpaceDE/>
        <w:autoSpaceDN/>
        <w:jc w:val="right"/>
        <w:rPr>
          <w:rFonts w:eastAsia="SimSun"/>
          <w:b/>
          <w:bCs/>
          <w:kern w:val="1"/>
          <w:sz w:val="20"/>
          <w:szCs w:val="20"/>
          <w:lang w:eastAsia="zh-CN" w:bidi="hi-IN"/>
        </w:rPr>
      </w:pPr>
    </w:p>
    <w:p w14:paraId="34BE40D4" w14:textId="77777777" w:rsidR="00FA7F23" w:rsidRPr="002A578D" w:rsidRDefault="00FA7F23" w:rsidP="000F3352">
      <w:pPr>
        <w:rPr>
          <w:b/>
          <w:bCs/>
        </w:rPr>
      </w:pPr>
      <w:r w:rsidRPr="002A578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607D" wp14:editId="04C87661">
                <wp:simplePos x="0" y="0"/>
                <wp:positionH relativeFrom="column">
                  <wp:posOffset>3852512</wp:posOffset>
                </wp:positionH>
                <wp:positionV relativeFrom="paragraph">
                  <wp:posOffset>51134</wp:posOffset>
                </wp:positionV>
                <wp:extent cx="2111876" cy="442762"/>
                <wp:effectExtent l="0" t="0" r="22225" b="1460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76" cy="442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D3E900E" w14:textId="27E0A6B7" w:rsidR="0074668F" w:rsidRDefault="0074668F" w:rsidP="000F3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607D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03.35pt;margin-top:4.05pt;width:166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JqXwIAANQEAAAOAAAAZHJzL2Uyb0RvYy54bWysVMtOGzEU3VfqP1jel0mmIdCICUpBqSoh&#10;QIKKtePxEKseX9d2MpN+T/+kP9ZjJ4FAu0LNwvF9+D7OPXfOzvvWsLXyQZOt+PBowJmykmptHyv+&#10;7X7+4ZSzEIWthSGrKr5RgZ9P378769xElbQkUyvPEMSGSecqvozRTYoiyKVqRTgipyyMDflWRIj+&#10;sai96BC9NUU5GIyLjnztPEkVArSXWyOf5vhNo2S8aZqgIjMVR20xnz6fi3QW0zMxefTCLbXclSHe&#10;UEUrtEXSp1CXIgq28vqvUK2WngI18UhSW1DTaKlyD+hmOHjVzd1SOJV7ATjBPcEU/l9Yeb2+9UzX&#10;FS85s6LFiO7V9xD1+vcvo1mZAOpcmMDvzsEz9p+px6D3+gBl6rtvfJv+0RGDHVBvnuBVfWQSynI4&#10;HJ6ejDmTsI1G5ck4hy+eXzsf4hdFLUuXinuML6Mq1lchohK47l1SskBG13NtTBY24cJ4thaYNAhS&#10;U8eZESFCWfF5/qWiEeLFM2NZV/Hxx+NBzvTCFt4SEgmMTQWpTL9d4QnDLVbpFvtFvwN2QfUGuHra&#10;UjM4Oddo/gqV3woPLgJK7Fe8wdEYQq20u3G2JP/zX/rkD4rAylkHblc8/FgJrwDIVwvyfBqORmkZ&#10;sjA6Pikh+EPL4tBiV+0FAdQhNtnJfE3+0eyvjaf2AWs4S1lhElYid8Xj/noRtxuHNZZqNstOoL8T&#10;8creOZlCJ8DSaO/7B+Hdbv4RzLmm/RaIySsabH3TS0uzVaRGZ44kgLeoYtpJwOrkue/WPO3moZy9&#10;nj9G0z8AAAD//wMAUEsDBBQABgAIAAAAIQDnsAQ23wAAAAgBAAAPAAAAZHJzL2Rvd25yZXYueG1s&#10;TI9RS8MwFIXfBf9DuIJvLtkKbdc1HUVwiKCw6YOPWXKXFpub0mRb/ffGJ308nMM536m3sxvYBafQ&#10;e5KwXAhgSNqbnqyEj/enhxJYiIqMGjyhhG8MsG1ub2pVGX+lPV4O0bJUQqFSEroYx4rzoDt0Kiz8&#10;iJS8k5+ciklOlptJXVO5G/hKiJw71VNa6NSIjx3qr8PZSXjZ79TK7p7Fa/YZ2zcbdRsmLeX93dxu&#10;gEWc418YfvETOjSJ6ejPZAIbJOQiL1JUQrkElvx1ts6AHSUURQm8qfn/A80PAAAA//8DAFBLAQIt&#10;ABQABgAIAAAAIQC2gziS/gAAAOEBAAATAAAAAAAAAAAAAAAAAAAAAABbQ29udGVudF9UeXBlc10u&#10;eG1sUEsBAi0AFAAGAAgAAAAhADj9If/WAAAAlAEAAAsAAAAAAAAAAAAAAAAALwEAAF9yZWxzLy5y&#10;ZWxzUEsBAi0AFAAGAAgAAAAhAKGD4mpfAgAA1AQAAA4AAAAAAAAAAAAAAAAALgIAAGRycy9lMm9E&#10;b2MueG1sUEsBAi0AFAAGAAgAAAAhAOewBDbfAAAACAEAAA8AAAAAAAAAAAAAAAAAuQQAAGRycy9k&#10;b3ducmV2LnhtbFBLBQYAAAAABAAEAPMAAADFBQAAAAA=&#10;" fillcolor="window" strokecolor="window" strokeweight=".5pt">
                <v:textbox>
                  <w:txbxContent>
                    <w:p w14:paraId="5D3E900E" w14:textId="27E0A6B7" w:rsidR="0074668F" w:rsidRDefault="0074668F" w:rsidP="000F33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9DC50" w14:textId="77777777" w:rsidR="0060581A" w:rsidRPr="002A578D" w:rsidRDefault="0060581A" w:rsidP="000F3352">
      <w:pPr>
        <w:rPr>
          <w:b/>
          <w:bCs/>
        </w:rPr>
      </w:pPr>
    </w:p>
    <w:p w14:paraId="38158DA1" w14:textId="77777777" w:rsidR="0060581A" w:rsidRPr="002A578D" w:rsidRDefault="0060581A" w:rsidP="0060581A">
      <w:pPr>
        <w:rPr>
          <w:b/>
          <w:bCs/>
        </w:rPr>
      </w:pPr>
    </w:p>
    <w:p w14:paraId="2DE7258B" w14:textId="77777777" w:rsidR="005560E8" w:rsidRPr="002A578D" w:rsidRDefault="005560E8" w:rsidP="0060581A">
      <w:pPr>
        <w:rPr>
          <w:b/>
          <w:bCs/>
        </w:rPr>
      </w:pPr>
    </w:p>
    <w:p w14:paraId="17981DFD" w14:textId="77777777" w:rsidR="002D6483" w:rsidRPr="003923F1" w:rsidRDefault="002D6483" w:rsidP="002D6483">
      <w:pPr>
        <w:jc w:val="center"/>
        <w:rPr>
          <w:b/>
          <w:bCs/>
        </w:rPr>
      </w:pPr>
      <w:r w:rsidRPr="003923F1">
        <w:rPr>
          <w:b/>
          <w:bCs/>
        </w:rPr>
        <w:t>SELETUSKIRI</w:t>
      </w:r>
    </w:p>
    <w:p w14:paraId="41C33A3E" w14:textId="0F7931CA" w:rsidR="002D6483" w:rsidRPr="003923F1" w:rsidRDefault="005D7BF1" w:rsidP="00B31BFF">
      <w:pPr>
        <w:jc w:val="center"/>
        <w:rPr>
          <w:b/>
          <w:bCs/>
        </w:rPr>
      </w:pPr>
      <w:r w:rsidRPr="003923F1">
        <w:rPr>
          <w:b/>
          <w:bCs/>
        </w:rPr>
        <w:t>m</w:t>
      </w:r>
      <w:r w:rsidR="00CC2ABD" w:rsidRPr="003923F1">
        <w:rPr>
          <w:b/>
          <w:bCs/>
        </w:rPr>
        <w:t>aaelu</w:t>
      </w:r>
      <w:r w:rsidR="002D6483" w:rsidRPr="003923F1">
        <w:rPr>
          <w:b/>
          <w:bCs/>
        </w:rPr>
        <w:t>ministri määruse „</w:t>
      </w:r>
      <w:r w:rsidR="008A29CB" w:rsidRPr="003923F1">
        <w:rPr>
          <w:b/>
        </w:rPr>
        <w:t>Maaeluministri 8. mai 2015. a määrus nr 58 „Mikro- ja väikeettevõtjate põllumajandustoodete töötlemise ning turustamise investeeringutoetus“</w:t>
      </w:r>
      <w:r w:rsidR="00B31BFF" w:rsidRPr="003923F1">
        <w:rPr>
          <w:b/>
        </w:rPr>
        <w:t xml:space="preserve"> </w:t>
      </w:r>
      <w:r w:rsidR="00CC2ABD" w:rsidRPr="003923F1">
        <w:rPr>
          <w:b/>
          <w:bCs/>
        </w:rPr>
        <w:t>muutmine“</w:t>
      </w:r>
      <w:r w:rsidR="002D6483" w:rsidRPr="003923F1">
        <w:rPr>
          <w:b/>
          <w:bCs/>
        </w:rPr>
        <w:t xml:space="preserve"> eelnõu juurde</w:t>
      </w:r>
    </w:p>
    <w:p w14:paraId="799E335D" w14:textId="77777777" w:rsidR="002D6483" w:rsidRPr="003923F1" w:rsidRDefault="002D6483" w:rsidP="002D6483">
      <w:pPr>
        <w:rPr>
          <w:b/>
          <w:bCs/>
        </w:rPr>
      </w:pPr>
    </w:p>
    <w:p w14:paraId="452564A1" w14:textId="77777777" w:rsidR="002D6483" w:rsidRPr="003923F1" w:rsidRDefault="002D6483" w:rsidP="002D6483">
      <w:pPr>
        <w:rPr>
          <w:b/>
          <w:bCs/>
        </w:rPr>
      </w:pPr>
      <w:r w:rsidRPr="003923F1">
        <w:rPr>
          <w:b/>
          <w:bCs/>
        </w:rPr>
        <w:t>1. Sissejuhatus</w:t>
      </w:r>
    </w:p>
    <w:p w14:paraId="4692596B" w14:textId="77777777" w:rsidR="002D6483" w:rsidRPr="003923F1" w:rsidRDefault="002D6483" w:rsidP="002D6483">
      <w:pPr>
        <w:rPr>
          <w:b/>
          <w:bCs/>
        </w:rPr>
      </w:pPr>
    </w:p>
    <w:p w14:paraId="777D2B0B" w14:textId="5099CBFF" w:rsidR="0058025F" w:rsidRPr="003923F1" w:rsidRDefault="0058025F" w:rsidP="004356F0">
      <w:pPr>
        <w:jc w:val="both"/>
      </w:pPr>
      <w:r w:rsidRPr="003923F1">
        <w:t xml:space="preserve">Maaeluministri määrus </w:t>
      </w:r>
      <w:r w:rsidR="00010723">
        <w:t>„</w:t>
      </w:r>
      <w:r w:rsidR="00010723" w:rsidRPr="00010723">
        <w:t>Maaelu</w:t>
      </w:r>
      <w:r w:rsidR="00010723">
        <w:t>ministri 8. mai 2015. a määruse</w:t>
      </w:r>
      <w:r w:rsidR="00010723" w:rsidRPr="00010723">
        <w:t xml:space="preserve"> nr 58 „Mikro- ja väikeettevõtjate põllumajandustoodete töötlemise ning turustamise investeeringutoetus“ </w:t>
      </w:r>
      <w:r w:rsidR="00010723">
        <w:t xml:space="preserve">muutmine“ (edaspidi </w:t>
      </w:r>
      <w:r w:rsidR="00010723" w:rsidRPr="00DE64FE">
        <w:rPr>
          <w:i/>
        </w:rPr>
        <w:t>eelnõu</w:t>
      </w:r>
      <w:r w:rsidR="00010723">
        <w:t xml:space="preserve">) </w:t>
      </w:r>
      <w:r w:rsidRPr="003923F1">
        <w:t>kehtestatakse Euroopa Liidu ühise põllumajanduspoliitik</w:t>
      </w:r>
      <w:r w:rsidR="0075506A" w:rsidRPr="003923F1">
        <w:t>a rakendamise seaduse</w:t>
      </w:r>
      <w:r w:rsidRPr="003923F1">
        <w:t xml:space="preserve"> § 67 lõike 2 </w:t>
      </w:r>
      <w:r w:rsidR="005D7BF1" w:rsidRPr="003923F1">
        <w:t>alusel</w:t>
      </w:r>
      <w:r w:rsidR="00B16C16" w:rsidRPr="003923F1">
        <w:t>.</w:t>
      </w:r>
    </w:p>
    <w:p w14:paraId="6DF02761" w14:textId="6078FE23" w:rsidR="00364F7C" w:rsidRPr="003923F1" w:rsidRDefault="00364F7C" w:rsidP="004356F0">
      <w:pPr>
        <w:jc w:val="both"/>
      </w:pPr>
    </w:p>
    <w:p w14:paraId="44C96FC2" w14:textId="320F3E8B" w:rsidR="0058025F" w:rsidRDefault="00FF64A4" w:rsidP="007F3DFE">
      <w:pPr>
        <w:pStyle w:val="Default"/>
        <w:jc w:val="both"/>
      </w:pPr>
      <w:r w:rsidRPr="003923F1">
        <w:t>Määrus hõlmab „Eesti maaelu arengukava 2014–2020“</w:t>
      </w:r>
      <w:r w:rsidR="007F3DFE">
        <w:t xml:space="preserve"> m</w:t>
      </w:r>
      <w:r w:rsidRPr="003923F1">
        <w:t xml:space="preserve">eetme 4 „Investeeringud materiaalsesse varasse“ tegevuse liigi 4.2 „Investeeringud põllumajandustoodete töötlemiseks ja turustamiseks“ alameedet 4.2.1 </w:t>
      </w:r>
      <w:r w:rsidR="008A29CB" w:rsidRPr="003923F1">
        <w:t>„Mikro- ja väikeettevõtjate põllumajandustoodete töötlemise ning turustamise</w:t>
      </w:r>
      <w:r w:rsidR="0075506A" w:rsidRPr="003923F1">
        <w:t xml:space="preserve"> investeeringutoetus“</w:t>
      </w:r>
      <w:r w:rsidR="007F3DFE" w:rsidRPr="00E3285F">
        <w:t>.</w:t>
      </w:r>
    </w:p>
    <w:p w14:paraId="0DDF353D" w14:textId="77777777" w:rsidR="00306EDA" w:rsidRPr="003923F1" w:rsidRDefault="00306EDA" w:rsidP="007F3DFE">
      <w:pPr>
        <w:pStyle w:val="Default"/>
        <w:jc w:val="both"/>
      </w:pPr>
    </w:p>
    <w:p w14:paraId="7E15FD00" w14:textId="77777777" w:rsidR="00B53EE9" w:rsidRDefault="00BF07D3" w:rsidP="005B2FDD">
      <w:pPr>
        <w:jc w:val="both"/>
      </w:pPr>
      <w:r>
        <w:t>Eelnõuga tehakse vajalikud muudatused m</w:t>
      </w:r>
      <w:r w:rsidR="004C6259" w:rsidRPr="003923F1">
        <w:t>aaeluministri 8. mai 2015. a määrus</w:t>
      </w:r>
      <w:r w:rsidR="0008403C">
        <w:t>es</w:t>
      </w:r>
      <w:r w:rsidR="004C6259" w:rsidRPr="003923F1">
        <w:t xml:space="preserve"> nr 58 „Mikro- ja väikeettevõtjate põllumajandustoodete töötlemise ning turustamise investeeringutoetus“ </w:t>
      </w:r>
      <w:r w:rsidR="00BF4FAD" w:rsidRPr="003923F1">
        <w:t xml:space="preserve">(edaspidi </w:t>
      </w:r>
      <w:r w:rsidR="002C1356">
        <w:rPr>
          <w:i/>
        </w:rPr>
        <w:t>määrus</w:t>
      </w:r>
      <w:r w:rsidR="00BF4FAD" w:rsidRPr="003923F1">
        <w:t>)</w:t>
      </w:r>
      <w:r w:rsidR="002C1356">
        <w:t xml:space="preserve"> </w:t>
      </w:r>
      <w:r>
        <w:t>seetõttu</w:t>
      </w:r>
      <w:r w:rsidR="002C1356" w:rsidRPr="002C1356">
        <w:t xml:space="preserve">, et edaspidi </w:t>
      </w:r>
      <w:r>
        <w:t xml:space="preserve">on </w:t>
      </w:r>
      <w:r w:rsidR="002C1356" w:rsidRPr="002C1356">
        <w:t>võimal</w:t>
      </w:r>
      <w:r>
        <w:t>ik</w:t>
      </w:r>
      <w:r w:rsidR="002C1356">
        <w:t xml:space="preserve"> toetust taotleda ka </w:t>
      </w:r>
      <w:r w:rsidR="00CB0F6C" w:rsidRPr="00CB0F6C">
        <w:t xml:space="preserve">Euroopa Liidu toimimise lepingu </w:t>
      </w:r>
      <w:r w:rsidRPr="00BF07D3">
        <w:t xml:space="preserve">(edaspidi </w:t>
      </w:r>
      <w:r w:rsidRPr="00065D44">
        <w:rPr>
          <w:i/>
        </w:rPr>
        <w:t>ELTL</w:t>
      </w:r>
      <w:r w:rsidRPr="00BF07D3">
        <w:t xml:space="preserve">) </w:t>
      </w:r>
      <w:r w:rsidR="00CB0F6C" w:rsidRPr="00CB0F6C">
        <w:t>I lisaga hõlmatud põllumajandustoodetest I lisaga hõlmatud või I lisaga hõlmamata toodete</w:t>
      </w:r>
      <w:r w:rsidR="00CB0F6C">
        <w:t xml:space="preserve"> turustamiseks vajaliku seadme ostmiseks või ehitise </w:t>
      </w:r>
      <w:r w:rsidR="00CB0F6C" w:rsidRPr="00065D44">
        <w:t>ehitamiseks</w:t>
      </w:r>
      <w:r w:rsidR="00CB0F6C">
        <w:t>. Kui var</w:t>
      </w:r>
      <w:r>
        <w:t>em</w:t>
      </w:r>
      <w:r w:rsidR="00CB0F6C">
        <w:t xml:space="preserve"> sai toetust taotleda </w:t>
      </w:r>
      <w:r w:rsidR="00B92B11" w:rsidRPr="00B92B11">
        <w:t>ee</w:t>
      </w:r>
      <w:r w:rsidR="002C55AB">
        <w:t xml:space="preserve">spool </w:t>
      </w:r>
      <w:r w:rsidR="00B92B11" w:rsidRPr="00B92B11">
        <w:t xml:space="preserve">nimetatud toodete </w:t>
      </w:r>
      <w:r w:rsidR="00CB0F6C">
        <w:t xml:space="preserve">turustamiseks vajaliku seadme ostmiseks või ehitise ehitamiseks </w:t>
      </w:r>
      <w:r w:rsidR="00E3276E">
        <w:t xml:space="preserve">üksnes </w:t>
      </w:r>
      <w:r w:rsidR="00CB0F6C">
        <w:t>juhul</w:t>
      </w:r>
      <w:r w:rsidR="00A76F1F">
        <w:t>,</w:t>
      </w:r>
      <w:r w:rsidR="00CB0F6C">
        <w:t xml:space="preserve"> kui toetust </w:t>
      </w:r>
      <w:r w:rsidR="00A76F1F">
        <w:t xml:space="preserve">taotleti </w:t>
      </w:r>
      <w:r w:rsidR="007E3403" w:rsidRPr="00B53EE9">
        <w:t xml:space="preserve">korraga </w:t>
      </w:r>
      <w:r w:rsidR="00A76F1F" w:rsidRPr="00B53EE9">
        <w:t>nii</w:t>
      </w:r>
      <w:r w:rsidR="00CB0F6C" w:rsidRPr="00B53EE9">
        <w:t xml:space="preserve"> töötlemiseks</w:t>
      </w:r>
      <w:r w:rsidR="00BD355F" w:rsidRPr="00B53EE9">
        <w:t xml:space="preserve"> kui ka turustamiseks</w:t>
      </w:r>
      <w:r w:rsidR="00CB0F6C">
        <w:t>, siis edaspidi saab toetust taotleda</w:t>
      </w:r>
      <w:r w:rsidR="00A76F1F">
        <w:t xml:space="preserve"> </w:t>
      </w:r>
      <w:r w:rsidR="00A76F1F" w:rsidRPr="00B53EE9">
        <w:t xml:space="preserve">ka </w:t>
      </w:r>
      <w:r w:rsidR="007E3403" w:rsidRPr="00B53EE9">
        <w:t xml:space="preserve">eraldi </w:t>
      </w:r>
      <w:r w:rsidR="00394D18">
        <w:t>t</w:t>
      </w:r>
      <w:r w:rsidR="00A76F1F">
        <w:t>urustamiseks</w:t>
      </w:r>
      <w:r w:rsidR="00CB0F6C">
        <w:t>.</w:t>
      </w:r>
      <w:r w:rsidR="007F3DFE">
        <w:t xml:space="preserve"> </w:t>
      </w:r>
    </w:p>
    <w:p w14:paraId="32CD692E" w14:textId="77777777" w:rsidR="00B53EE9" w:rsidRDefault="00B53EE9" w:rsidP="005B2FDD">
      <w:pPr>
        <w:jc w:val="both"/>
      </w:pPr>
    </w:p>
    <w:p w14:paraId="37CD8A45" w14:textId="77777777" w:rsidR="00B53EE9" w:rsidRDefault="00FF6433" w:rsidP="004356F0">
      <w:pPr>
        <w:jc w:val="both"/>
      </w:pPr>
      <w:r w:rsidRPr="00FF6433">
        <w:t xml:space="preserve">Teine oluline muudatus tehakse selle pärast, </w:t>
      </w:r>
      <w:r>
        <w:t xml:space="preserve">et alates 2022. aastast hakkasid kehtima uued regionaalabi suunised, mille kohaselt on muutunud regionaalabi piirmäärad. Uute regionaalabi suuniste kohaselt on toetuse </w:t>
      </w:r>
      <w:r w:rsidR="00CC6B6F">
        <w:t xml:space="preserve">maksimaalne </w:t>
      </w:r>
      <w:r>
        <w:t>määr mikro- ja väikeettevõtjatel 40% toetatava tegevuse abikõlbliku</w:t>
      </w:r>
      <w:r w:rsidR="00E95D2A">
        <w:t xml:space="preserve"> kulu</w:t>
      </w:r>
      <w:r>
        <w:t xml:space="preserve"> maksumusest. </w:t>
      </w:r>
    </w:p>
    <w:p w14:paraId="3347BF60" w14:textId="77777777" w:rsidR="00B53EE9" w:rsidRDefault="00B53EE9" w:rsidP="004356F0">
      <w:pPr>
        <w:jc w:val="both"/>
      </w:pPr>
    </w:p>
    <w:p w14:paraId="58A8E5A4" w14:textId="3387904B" w:rsidR="00C62608" w:rsidRDefault="00FF6433" w:rsidP="004356F0">
      <w:pPr>
        <w:jc w:val="both"/>
      </w:pPr>
      <w:r>
        <w:t xml:space="preserve">Lisaks </w:t>
      </w:r>
      <w:r w:rsidR="00CC6B6F">
        <w:t>täpsustatakse eelnõuga</w:t>
      </w:r>
      <w:r w:rsidR="00E3276E">
        <w:t xml:space="preserve"> </w:t>
      </w:r>
      <w:r w:rsidR="00036C84" w:rsidRPr="003923F1">
        <w:t>taotluse hindamise kriteerium</w:t>
      </w:r>
      <w:r w:rsidR="00CC6B6F">
        <w:t>e</w:t>
      </w:r>
      <w:r w:rsidR="00E3276E">
        <w:t xml:space="preserve">. Edaspidi saavad hindepunkte ka need taotlejad, kes kuuluvad </w:t>
      </w:r>
      <w:r w:rsidR="00E3276E" w:rsidRPr="00E3276E">
        <w:t>taotluse esitamise</w:t>
      </w:r>
      <w:r w:rsidR="00E3276E">
        <w:t xml:space="preserve"> ajal tunnustatud tootja</w:t>
      </w:r>
      <w:r w:rsidR="00240792">
        <w:t>organisatsiooni</w:t>
      </w:r>
      <w:r w:rsidR="00E3276E">
        <w:t xml:space="preserve">. Samuti muudetakse hindamiskriteeriumi </w:t>
      </w:r>
      <w:r w:rsidR="00283701">
        <w:t xml:space="preserve">8 alusel antavaid hindepunkte </w:t>
      </w:r>
      <w:r w:rsidR="00532EE1">
        <w:t>seetõttu</w:t>
      </w:r>
      <w:r w:rsidR="00283701">
        <w:t>, et alates 2022.</w:t>
      </w:r>
      <w:r w:rsidR="00532EE1">
        <w:t> </w:t>
      </w:r>
      <w:r w:rsidR="00283701">
        <w:t>a</w:t>
      </w:r>
      <w:r w:rsidR="00B92B11">
        <w:t>astast</w:t>
      </w:r>
      <w:r w:rsidR="00283701">
        <w:t xml:space="preserve"> kehtivad uued regionaalabi piirmäärad.</w:t>
      </w:r>
    </w:p>
    <w:p w14:paraId="6F4DC722" w14:textId="77777777" w:rsidR="00C62608" w:rsidRDefault="00C62608" w:rsidP="004356F0">
      <w:pPr>
        <w:jc w:val="both"/>
      </w:pPr>
    </w:p>
    <w:p w14:paraId="0779C3FC" w14:textId="795E7118" w:rsidR="00CD1DE1" w:rsidRPr="003923F1" w:rsidRDefault="00036C84" w:rsidP="004356F0">
      <w:pPr>
        <w:jc w:val="both"/>
      </w:pPr>
      <w:r w:rsidRPr="003923F1">
        <w:t xml:space="preserve">Eelnõu ja seletuskirja koostasid Maaeluministeeriumi põllumajanduspoliitika osakonna valdkonnajuht Janeli Tikk (625 6299, </w:t>
      </w:r>
      <w:hyperlink r:id="rId8" w:history="1">
        <w:r w:rsidRPr="003923F1">
          <w:rPr>
            <w:rStyle w:val="Hyperlink"/>
          </w:rPr>
          <w:t>janeli.tikk@agri.ee</w:t>
        </w:r>
      </w:hyperlink>
      <w:r w:rsidRPr="003923F1">
        <w:t xml:space="preserve">) ning sama osakonna peaspetsialist Indrek Mõtt (625 6292, </w:t>
      </w:r>
      <w:hyperlink r:id="rId9" w:history="1">
        <w:r w:rsidRPr="003923F1">
          <w:rPr>
            <w:rStyle w:val="Hyperlink"/>
          </w:rPr>
          <w:t>indrek.mott@agri.ee</w:t>
        </w:r>
      </w:hyperlink>
      <w:r w:rsidRPr="003923F1">
        <w:t>)</w:t>
      </w:r>
      <w:r w:rsidR="00FD2A20" w:rsidRPr="003923F1">
        <w:t>.</w:t>
      </w:r>
      <w:r w:rsidRPr="003923F1">
        <w:t xml:space="preserve"> </w:t>
      </w:r>
      <w:r w:rsidR="0058025F" w:rsidRPr="003923F1">
        <w:t>Juriidilise ekspertiisi määruse eelnõule tegi Maaeluministeeriumi õi</w:t>
      </w:r>
      <w:r w:rsidR="004F2A5F" w:rsidRPr="003923F1">
        <w:t>gusosakonna nõunik Kadri Jänes</w:t>
      </w:r>
      <w:r w:rsidR="0058025F" w:rsidRPr="003923F1">
        <w:t xml:space="preserve"> (625 6539, </w:t>
      </w:r>
      <w:hyperlink r:id="rId10" w:history="1">
        <w:r w:rsidRPr="003923F1">
          <w:rPr>
            <w:rStyle w:val="Hyperlink"/>
          </w:rPr>
          <w:t>kadri.janes@agri.ee</w:t>
        </w:r>
      </w:hyperlink>
      <w:r w:rsidR="0058025F" w:rsidRPr="003923F1">
        <w:t>). Keeleliselt toimetas eelnõu Maaeluministeeriumi õigusosakonna peaspetsialist L</w:t>
      </w:r>
      <w:r w:rsidR="001B7069" w:rsidRPr="003923F1">
        <w:t>aura</w:t>
      </w:r>
      <w:r w:rsidR="0058025F" w:rsidRPr="003923F1">
        <w:t xml:space="preserve"> </w:t>
      </w:r>
      <w:proofErr w:type="spellStart"/>
      <w:r w:rsidR="001B7069" w:rsidRPr="003923F1">
        <w:t>Ojava</w:t>
      </w:r>
      <w:proofErr w:type="spellEnd"/>
      <w:r w:rsidR="0058025F" w:rsidRPr="003923F1">
        <w:t xml:space="preserve"> (625</w:t>
      </w:r>
      <w:r w:rsidR="00532EE1">
        <w:t> </w:t>
      </w:r>
      <w:r w:rsidR="0058025F" w:rsidRPr="003923F1">
        <w:t>6</w:t>
      </w:r>
      <w:r w:rsidR="001B7069" w:rsidRPr="003923F1">
        <w:t>523</w:t>
      </w:r>
      <w:r w:rsidR="0058025F" w:rsidRPr="003923F1">
        <w:t xml:space="preserve">, </w:t>
      </w:r>
      <w:hyperlink r:id="rId11" w:history="1">
        <w:r w:rsidR="00015849" w:rsidRPr="003923F1">
          <w:rPr>
            <w:rStyle w:val="Hyperlink"/>
          </w:rPr>
          <w:t>laura.ojava@agri.ee</w:t>
        </w:r>
      </w:hyperlink>
      <w:r w:rsidR="0058025F" w:rsidRPr="003923F1">
        <w:t>).</w:t>
      </w:r>
    </w:p>
    <w:p w14:paraId="203426AA" w14:textId="77777777" w:rsidR="00E53B6E" w:rsidRPr="00366ED3" w:rsidRDefault="00E53B6E" w:rsidP="004356F0">
      <w:pPr>
        <w:jc w:val="both"/>
        <w:rPr>
          <w:b/>
        </w:rPr>
      </w:pPr>
    </w:p>
    <w:p w14:paraId="3836E987" w14:textId="0F5A8F32" w:rsidR="0058025F" w:rsidRPr="003923F1" w:rsidRDefault="0058025F" w:rsidP="004356F0">
      <w:pPr>
        <w:jc w:val="both"/>
        <w:rPr>
          <w:b/>
        </w:rPr>
      </w:pPr>
      <w:r w:rsidRPr="003923F1">
        <w:rPr>
          <w:b/>
        </w:rPr>
        <w:t>2. Eelnõu sisu ja võrdlev analüüs</w:t>
      </w:r>
    </w:p>
    <w:p w14:paraId="76AD7468" w14:textId="77838AF4" w:rsidR="00C4262B" w:rsidRPr="003923F1" w:rsidRDefault="00C4262B" w:rsidP="004356F0">
      <w:pPr>
        <w:jc w:val="both"/>
        <w:rPr>
          <w:b/>
        </w:rPr>
      </w:pPr>
    </w:p>
    <w:p w14:paraId="2825EB62" w14:textId="77777777" w:rsidR="00C4262B" w:rsidRPr="003923F1" w:rsidRDefault="00C4262B" w:rsidP="00C4262B">
      <w:pPr>
        <w:jc w:val="both"/>
      </w:pPr>
      <w:r w:rsidRPr="003923F1">
        <w:t>Määrust muudetakse järgmiselt.</w:t>
      </w:r>
    </w:p>
    <w:p w14:paraId="0C76A8F5" w14:textId="71C287A8" w:rsidR="00C4262B" w:rsidRPr="003923F1" w:rsidRDefault="00C4262B" w:rsidP="004356F0">
      <w:pPr>
        <w:jc w:val="both"/>
        <w:rPr>
          <w:b/>
        </w:rPr>
      </w:pPr>
    </w:p>
    <w:p w14:paraId="4684D71C" w14:textId="112A492C" w:rsidR="0074668F" w:rsidRPr="00695157" w:rsidRDefault="0074668F" w:rsidP="0074668F">
      <w:pPr>
        <w:jc w:val="both"/>
      </w:pPr>
      <w:r>
        <w:rPr>
          <w:b/>
        </w:rPr>
        <w:t xml:space="preserve">Eelnõu punktiga 1 </w:t>
      </w:r>
      <w:r w:rsidRPr="009B3C6F">
        <w:t>m</w:t>
      </w:r>
      <w:r>
        <w:t>uudetakse määruse § 3</w:t>
      </w:r>
      <w:r w:rsidRPr="009B3C6F">
        <w:rPr>
          <w:vertAlign w:val="superscript"/>
        </w:rPr>
        <w:t>1</w:t>
      </w:r>
      <w:r>
        <w:t xml:space="preserve"> lõike 1 punkti 3, sest 15. mail 2021 jõustus jäätmeseaduse (edaspidi </w:t>
      </w:r>
      <w:proofErr w:type="spellStart"/>
      <w:r w:rsidRPr="0002345F">
        <w:rPr>
          <w:i/>
        </w:rPr>
        <w:t>JäätS</w:t>
      </w:r>
      <w:proofErr w:type="spellEnd"/>
      <w:r>
        <w:t xml:space="preserve">) redaktsioon, mille kohaselt muudeti JäätS-i vastutussätteid. </w:t>
      </w:r>
      <w:r>
        <w:lastRenderedPageBreak/>
        <w:t>JäätS</w:t>
      </w:r>
      <w:r w:rsidR="00532EE1">
        <w:noBreakHyphen/>
      </w:r>
      <w:r>
        <w:t xml:space="preserve">i § 125 tunnistati kehtetuks, kuna </w:t>
      </w:r>
      <w:r w:rsidR="00532EE1">
        <w:t xml:space="preserve">selle </w:t>
      </w:r>
      <w:r>
        <w:t xml:space="preserve">teo eest on </w:t>
      </w:r>
      <w:r w:rsidR="00532EE1">
        <w:t xml:space="preserve">vastutussäte </w:t>
      </w:r>
      <w:r>
        <w:t xml:space="preserve">olemas JäätS-i §-s </w:t>
      </w:r>
      <w:r w:rsidRPr="006B0604">
        <w:t>120</w:t>
      </w:r>
      <w:r w:rsidRPr="006B0604">
        <w:rPr>
          <w:vertAlign w:val="superscript"/>
        </w:rPr>
        <w:t>1</w:t>
      </w:r>
      <w:r>
        <w:t xml:space="preserve">. </w:t>
      </w:r>
      <w:r w:rsidRPr="00255497">
        <w:t>Samuti tunnistati kehtetuks JäätS-i §-d 126</w:t>
      </w:r>
      <w:r w:rsidRPr="00255497">
        <w:rPr>
          <w:vertAlign w:val="superscript"/>
        </w:rPr>
        <w:t>1</w:t>
      </w:r>
      <w:r w:rsidRPr="00255497">
        <w:t xml:space="preserve"> ja </w:t>
      </w:r>
      <w:r w:rsidRPr="00AC201B">
        <w:t>126</w:t>
      </w:r>
      <w:r w:rsidRPr="00AC201B">
        <w:rPr>
          <w:vertAlign w:val="superscript"/>
        </w:rPr>
        <w:t>6</w:t>
      </w:r>
      <w:r w:rsidR="00AC201B">
        <w:t>,</w:t>
      </w:r>
      <w:r w:rsidR="00AC201B" w:rsidRPr="00AC201B">
        <w:t xml:space="preserve"> </w:t>
      </w:r>
      <w:r w:rsidR="00AC201B" w:rsidRPr="00E3285F">
        <w:t xml:space="preserve">sest seadusemuudatustega pandi kokku mitmed vastutussätted </w:t>
      </w:r>
      <w:r w:rsidR="00532EE1">
        <w:t>ning</w:t>
      </w:r>
      <w:r w:rsidR="00AC201B" w:rsidRPr="00E3285F">
        <w:t xml:space="preserve"> edaspidi on </w:t>
      </w:r>
      <w:r w:rsidR="00AC201B">
        <w:t xml:space="preserve">ka </w:t>
      </w:r>
      <w:r w:rsidR="00AC201B" w:rsidRPr="00B33677">
        <w:t xml:space="preserve">nende </w:t>
      </w:r>
      <w:r w:rsidR="00AC201B">
        <w:t>kahe sät</w:t>
      </w:r>
      <w:r w:rsidR="00AC201B" w:rsidRPr="00E3285F">
        <w:t xml:space="preserve">te sisu kaetud </w:t>
      </w:r>
      <w:r w:rsidR="00AC201B" w:rsidRPr="00AC201B">
        <w:t xml:space="preserve">JäätS-i </w:t>
      </w:r>
      <w:r w:rsidR="00AC201B">
        <w:t>§-dega 120</w:t>
      </w:r>
      <w:r w:rsidR="00AC201B" w:rsidRPr="00B33677">
        <w:rPr>
          <w:vertAlign w:val="superscript"/>
        </w:rPr>
        <w:t>1</w:t>
      </w:r>
      <w:r w:rsidR="00AC201B">
        <w:t>, 126 ja 126</w:t>
      </w:r>
      <w:r w:rsidR="00AC201B" w:rsidRPr="00B33677">
        <w:rPr>
          <w:vertAlign w:val="superscript"/>
        </w:rPr>
        <w:t>4</w:t>
      </w:r>
      <w:r w:rsidRPr="00AC201B">
        <w:t>.</w:t>
      </w:r>
      <w:r>
        <w:t xml:space="preserve"> </w:t>
      </w:r>
      <w:r w:rsidR="00532EE1">
        <w:t>Eeltoodu tõttu</w:t>
      </w:r>
      <w:r>
        <w:t xml:space="preserve"> viiakse määruses sätestatu kooskõlla </w:t>
      </w:r>
      <w:proofErr w:type="spellStart"/>
      <w:r>
        <w:t>JäätS-is</w:t>
      </w:r>
      <w:proofErr w:type="spellEnd"/>
      <w:r>
        <w:t xml:space="preserve"> sätestatuga.</w:t>
      </w:r>
    </w:p>
    <w:p w14:paraId="0467126A" w14:textId="77777777" w:rsidR="007F3DFE" w:rsidRDefault="007F3DFE" w:rsidP="00C06F3C">
      <w:pPr>
        <w:jc w:val="both"/>
        <w:rPr>
          <w:b/>
        </w:rPr>
      </w:pPr>
    </w:p>
    <w:p w14:paraId="5C101384" w14:textId="4E11851E" w:rsidR="00955AD4" w:rsidRDefault="00C4262B" w:rsidP="007158B3">
      <w:pPr>
        <w:jc w:val="both"/>
      </w:pPr>
      <w:r w:rsidRPr="00B856A7">
        <w:rPr>
          <w:b/>
        </w:rPr>
        <w:t>Eelnõu punkti</w:t>
      </w:r>
      <w:r w:rsidR="00450E49" w:rsidRPr="00B856A7">
        <w:rPr>
          <w:b/>
        </w:rPr>
        <w:t>dega 2 ja 6</w:t>
      </w:r>
      <w:r w:rsidR="00466094" w:rsidRPr="00C01E7C">
        <w:t xml:space="preserve"> </w:t>
      </w:r>
      <w:r w:rsidR="006F3953" w:rsidRPr="00C01E7C">
        <w:t>tä</w:t>
      </w:r>
      <w:r w:rsidR="00252D91" w:rsidRPr="00C01E7C">
        <w:t>iendatakse</w:t>
      </w:r>
      <w:r w:rsidR="0082365E" w:rsidRPr="00C01E7C">
        <w:t xml:space="preserve"> </w:t>
      </w:r>
      <w:r w:rsidR="00283701" w:rsidRPr="00C01E7C">
        <w:t xml:space="preserve">määruse </w:t>
      </w:r>
      <w:r w:rsidR="00177274" w:rsidRPr="00C01E7C">
        <w:t>§</w:t>
      </w:r>
      <w:r w:rsidR="0082365E" w:rsidRPr="00C01E7C">
        <w:t xml:space="preserve"> </w:t>
      </w:r>
      <w:r w:rsidR="009E2DA7" w:rsidRPr="00C01E7C">
        <w:t>4 lõike</w:t>
      </w:r>
      <w:r w:rsidR="00283701" w:rsidRPr="00C01E7C">
        <w:t>s</w:t>
      </w:r>
      <w:r w:rsidR="0082365E" w:rsidRPr="00C01E7C">
        <w:t xml:space="preserve"> 1</w:t>
      </w:r>
      <w:r w:rsidR="008772F7" w:rsidRPr="00C01E7C">
        <w:t xml:space="preserve"> </w:t>
      </w:r>
      <w:r w:rsidR="00BC7E8A" w:rsidRPr="00C01E7C">
        <w:t xml:space="preserve">ja 2 </w:t>
      </w:r>
      <w:r w:rsidR="00466094" w:rsidRPr="00C01E7C">
        <w:t>ning § 15 lõikes 2 punktis 2</w:t>
      </w:r>
      <w:r w:rsidR="00466094">
        <w:t xml:space="preserve"> </w:t>
      </w:r>
      <w:r w:rsidR="00283701">
        <w:t xml:space="preserve">sätestatud </w:t>
      </w:r>
      <w:r w:rsidR="00203CA6">
        <w:t xml:space="preserve">nende </w:t>
      </w:r>
      <w:r w:rsidR="006F3953" w:rsidRPr="003923F1">
        <w:t>tegevuste loetelu</w:t>
      </w:r>
      <w:r w:rsidR="00394D18" w:rsidRPr="008772F7">
        <w:t>, mille</w:t>
      </w:r>
      <w:r w:rsidR="00775F3E" w:rsidRPr="008772F7">
        <w:t xml:space="preserve"> </w:t>
      </w:r>
      <w:r w:rsidR="00532EE1">
        <w:t>elluvii</w:t>
      </w:r>
      <w:r w:rsidR="00532EE1" w:rsidRPr="008772F7">
        <w:t xml:space="preserve">miseks </w:t>
      </w:r>
      <w:r w:rsidR="00203CA6" w:rsidRPr="008772F7">
        <w:t xml:space="preserve">võib </w:t>
      </w:r>
      <w:r w:rsidR="00394D18" w:rsidRPr="008772F7">
        <w:t xml:space="preserve">taotleda </w:t>
      </w:r>
      <w:r w:rsidR="00203CA6" w:rsidRPr="008772F7">
        <w:t>toetust,</w:t>
      </w:r>
      <w:r w:rsidR="006F3953" w:rsidRPr="003923F1">
        <w:t xml:space="preserve"> uue tegevusega</w:t>
      </w:r>
      <w:r w:rsidR="008026C1" w:rsidRPr="003923F1">
        <w:t>.</w:t>
      </w:r>
      <w:r w:rsidR="006F3953" w:rsidRPr="003923F1">
        <w:t xml:space="preserve"> </w:t>
      </w:r>
      <w:r w:rsidR="00283701">
        <w:t xml:space="preserve">Kui varem sai toetust taotleda </w:t>
      </w:r>
      <w:r w:rsidR="00185DEF">
        <w:t>ELTL</w:t>
      </w:r>
      <w:r w:rsidR="00BC7E8A">
        <w:t xml:space="preserve">-i </w:t>
      </w:r>
      <w:r w:rsidR="00283701" w:rsidRPr="00283701">
        <w:t>I lisaga hõlmatud põllumajandustoodetest I lisaga hõlmatud või I lisaga hõlmamata toodete</w:t>
      </w:r>
      <w:r w:rsidR="00283701">
        <w:t xml:space="preserve"> </w:t>
      </w:r>
      <w:r w:rsidR="00AD1CF5">
        <w:t xml:space="preserve">töötlemiseks või töötlemiseks ja </w:t>
      </w:r>
      <w:r w:rsidR="00283701">
        <w:t xml:space="preserve">turustamiseks vajaliku seadme ostmiseks või ehitise ehitamiseks </w:t>
      </w:r>
      <w:r w:rsidR="00AD1CF5" w:rsidRPr="00AD1CF5">
        <w:t>ehitusseadustikus sätestatud tingimustel ja korras</w:t>
      </w:r>
      <w:r w:rsidR="00AD1CF5">
        <w:t xml:space="preserve">, siis </w:t>
      </w:r>
      <w:r w:rsidR="00283701" w:rsidRPr="00283701">
        <w:t xml:space="preserve">edaspidi saab </w:t>
      </w:r>
      <w:r w:rsidR="00191087">
        <w:t xml:space="preserve">määruse alusel </w:t>
      </w:r>
      <w:r w:rsidR="00283701" w:rsidRPr="00283701">
        <w:t xml:space="preserve">toetust taotleda ka </w:t>
      </w:r>
      <w:r w:rsidR="00283701">
        <w:t xml:space="preserve">üksnes </w:t>
      </w:r>
      <w:r w:rsidR="00283701" w:rsidRPr="00283701">
        <w:t>nimetatud toodete</w:t>
      </w:r>
      <w:r w:rsidR="00283701">
        <w:t xml:space="preserve"> turustamiseks vajaliku seadme ostmiseks või ehitise ehitamiseks.</w:t>
      </w:r>
    </w:p>
    <w:p w14:paraId="105C6DA9" w14:textId="77777777" w:rsidR="00306EDA" w:rsidRDefault="00306EDA" w:rsidP="007158B3">
      <w:pPr>
        <w:jc w:val="both"/>
      </w:pPr>
    </w:p>
    <w:p w14:paraId="0C492C47" w14:textId="723BBA45" w:rsidR="00955AD4" w:rsidRDefault="006F3953" w:rsidP="007158B3">
      <w:pPr>
        <w:jc w:val="both"/>
      </w:pPr>
      <w:r w:rsidRPr="003923F1">
        <w:t>Nimetatud muudatus tuleneb sellest, et mikro- ja väikeettevõtjad on välja toonud, et oma toodete välisturgudele müümise osakaalu suurendamiseks o</w:t>
      </w:r>
      <w:r w:rsidR="00283701">
        <w:t>n</w:t>
      </w:r>
      <w:r w:rsidRPr="003923F1">
        <w:t xml:space="preserve"> vaja teha </w:t>
      </w:r>
      <w:r w:rsidR="00532EE1">
        <w:t>lisa</w:t>
      </w:r>
      <w:r w:rsidRPr="003923F1">
        <w:t>investeeringuid turustamiseks vajalike</w:t>
      </w:r>
      <w:r w:rsidR="00423274">
        <w:t>sse</w:t>
      </w:r>
      <w:r w:rsidRPr="003923F1">
        <w:t xml:space="preserve"> seadmetesse ning ehitistesse.</w:t>
      </w:r>
      <w:r w:rsidR="00D12A2E">
        <w:t xml:space="preserve"> Alates 2015. aastast on mikro- ja väikeettevõtjad saanud toetust taotleda turustamiseks vajaliku seadme ostmiseks või ehitise ehitamiseks üksnes juhul, kui toetust taotlet</w:t>
      </w:r>
      <w:r w:rsidR="00423274">
        <w:t>akse</w:t>
      </w:r>
      <w:r w:rsidR="00D12A2E">
        <w:t xml:space="preserve"> ka töötlemiseks vajaliku seadme ostmiseks või ehitise ehitamiseks, </w:t>
      </w:r>
      <w:r w:rsidR="001B2619">
        <w:t xml:space="preserve">kuid </w:t>
      </w:r>
      <w:r w:rsidR="00D12A2E">
        <w:t>järgmise arengu</w:t>
      </w:r>
      <w:r w:rsidR="009320C0">
        <w:t>etapi</w:t>
      </w:r>
      <w:r w:rsidR="00D12A2E">
        <w:t xml:space="preserve"> saavutamiseks on vajalik </w:t>
      </w:r>
      <w:r w:rsidR="00532EE1">
        <w:t>lisa</w:t>
      </w:r>
      <w:r w:rsidR="00D12A2E">
        <w:t xml:space="preserve">investeeringute tegemiseks </w:t>
      </w:r>
      <w:r w:rsidR="00191087">
        <w:t>võimaldada toetust taotleda</w:t>
      </w:r>
      <w:r w:rsidR="00191087" w:rsidDel="00191087">
        <w:t xml:space="preserve"> </w:t>
      </w:r>
      <w:r w:rsidR="00D12A2E">
        <w:t>ka üksnes</w:t>
      </w:r>
      <w:r w:rsidR="00191087">
        <w:t xml:space="preserve"> </w:t>
      </w:r>
      <w:r w:rsidR="00D12A2E">
        <w:t>turustamiseks vajaliku seadme ostmiseks või ehitise ehitamiseks.</w:t>
      </w:r>
    </w:p>
    <w:p w14:paraId="196F86E6" w14:textId="2B7D9851" w:rsidR="00EE0BE1" w:rsidRDefault="006F3953" w:rsidP="007158B3">
      <w:pPr>
        <w:jc w:val="both"/>
      </w:pPr>
      <w:r w:rsidRPr="003923F1">
        <w:t xml:space="preserve"> </w:t>
      </w:r>
    </w:p>
    <w:p w14:paraId="7D24339C" w14:textId="03F01250" w:rsidR="0054585F" w:rsidRDefault="00EE0BE1" w:rsidP="007158B3">
      <w:pPr>
        <w:jc w:val="both"/>
      </w:pPr>
      <w:r>
        <w:t xml:space="preserve">Ka </w:t>
      </w:r>
      <w:r w:rsidR="007158B3">
        <w:t>Euroopa Parlamendi ja nõukogu määruse (EL) nr 1305/2013</w:t>
      </w:r>
      <w:r>
        <w:rPr>
          <w:rStyle w:val="FootnoteReference"/>
        </w:rPr>
        <w:footnoteReference w:id="1"/>
      </w:r>
      <w:r w:rsidR="007158B3">
        <w:t xml:space="preserve"> </w:t>
      </w:r>
      <w:r w:rsidR="007158B3" w:rsidRPr="007158B3">
        <w:t>arti</w:t>
      </w:r>
      <w:r w:rsidR="007158B3">
        <w:t xml:space="preserve">kli 17 lõike 1 punkti b kohaselt võib nimetatud toetust anda </w:t>
      </w:r>
      <w:r w:rsidR="007158B3" w:rsidRPr="007158B3">
        <w:t>materiaalsesse või im</w:t>
      </w:r>
      <w:r w:rsidR="007158B3">
        <w:t>materiaalsesse varasse tehtavateks investeeringuteks</w:t>
      </w:r>
      <w:r w:rsidR="007158B3" w:rsidRPr="007158B3">
        <w:t>, m</w:t>
      </w:r>
      <w:r w:rsidR="007158B3">
        <w:t>is on seotud</w:t>
      </w:r>
      <w:r w:rsidR="0075051E">
        <w:t xml:space="preserve"> ELTL</w:t>
      </w:r>
      <w:r w:rsidR="00AB34A2">
        <w:t>-i</w:t>
      </w:r>
      <w:r w:rsidR="007158B3">
        <w:t xml:space="preserve"> </w:t>
      </w:r>
      <w:r w:rsidR="007158B3" w:rsidRPr="007158B3">
        <w:t>I lisaga hõlmatud põllumajandustoodete või puuvilla, välja arvatud kalandustoodete töötlemise, tur</w:t>
      </w:r>
      <w:r w:rsidR="007158B3">
        <w:t xml:space="preserve">ustamise või tootearendusega. </w:t>
      </w:r>
      <w:r w:rsidR="00D12A2E">
        <w:t>S</w:t>
      </w:r>
      <w:r w:rsidR="007158B3">
        <w:t xml:space="preserve">ee muudatus </w:t>
      </w:r>
      <w:r w:rsidR="00D12A2E">
        <w:t xml:space="preserve">aitab </w:t>
      </w:r>
      <w:r w:rsidR="007158B3">
        <w:t xml:space="preserve">kaasa ka keskkonnapoliitika eesmärkide </w:t>
      </w:r>
      <w:r w:rsidR="007158B3" w:rsidRPr="007158B3">
        <w:t>saavutamisele</w:t>
      </w:r>
      <w:r>
        <w:t xml:space="preserve"> ja panustab energiasäästu</w:t>
      </w:r>
      <w:r w:rsidR="007158B3">
        <w:t xml:space="preserve">. Näiteks </w:t>
      </w:r>
      <w:r w:rsidR="00684FB5">
        <w:t xml:space="preserve">on </w:t>
      </w:r>
      <w:r w:rsidR="00466094" w:rsidRPr="00C01E7C">
        <w:t>tänapäevased</w:t>
      </w:r>
      <w:r w:rsidR="00466094">
        <w:t xml:space="preserve"> </w:t>
      </w:r>
      <w:r w:rsidR="007158B3">
        <w:t xml:space="preserve">pakkeliinid </w:t>
      </w:r>
      <w:r>
        <w:t xml:space="preserve">sageli energiasäästlikumad, võimaldavad kasutada pakendamisel vähem materjali ning </w:t>
      </w:r>
      <w:r w:rsidR="00466094" w:rsidRPr="00C01E7C">
        <w:t>tänapäevastes</w:t>
      </w:r>
      <w:r w:rsidR="00D12A2E">
        <w:t xml:space="preserve"> seadmetes kasutatavad </w:t>
      </w:r>
      <w:r>
        <w:t xml:space="preserve">pakendusmaterjalid on </w:t>
      </w:r>
      <w:r w:rsidRPr="00EE0BE1">
        <w:t>taaskasutatavad</w:t>
      </w:r>
      <w:r>
        <w:t>.</w:t>
      </w:r>
    </w:p>
    <w:p w14:paraId="2DA9B8FC" w14:textId="77777777" w:rsidR="0058025F" w:rsidRPr="003923F1" w:rsidRDefault="0058025F" w:rsidP="004356F0">
      <w:pPr>
        <w:jc w:val="both"/>
        <w:rPr>
          <w:b/>
        </w:rPr>
      </w:pPr>
    </w:p>
    <w:p w14:paraId="1ABAAA11" w14:textId="2099F950" w:rsidR="00E562F6" w:rsidRDefault="00C06F3C" w:rsidP="00E562F6">
      <w:pPr>
        <w:jc w:val="both"/>
      </w:pPr>
      <w:r w:rsidRPr="003923F1">
        <w:rPr>
          <w:b/>
        </w:rPr>
        <w:t xml:space="preserve">Eelnõu punktiga </w:t>
      </w:r>
      <w:r w:rsidR="00605943">
        <w:rPr>
          <w:b/>
        </w:rPr>
        <w:t>3</w:t>
      </w:r>
      <w:r w:rsidRPr="00955AD4">
        <w:t xml:space="preserve"> </w:t>
      </w:r>
      <w:r w:rsidRPr="003923F1">
        <w:t>tunnistatakse</w:t>
      </w:r>
      <w:r w:rsidRPr="00885E2F">
        <w:t xml:space="preserve"> </w:t>
      </w:r>
      <w:r w:rsidR="00EE0BE1" w:rsidRPr="00885E2F">
        <w:t xml:space="preserve">kehtetuks </w:t>
      </w:r>
      <w:r w:rsidR="00EE0BE1">
        <w:t xml:space="preserve">määruse </w:t>
      </w:r>
      <w:r w:rsidR="00177274" w:rsidRPr="003923F1">
        <w:t>§</w:t>
      </w:r>
      <w:r w:rsidRPr="003923F1">
        <w:t xml:space="preserve"> 8 lõige 2.</w:t>
      </w:r>
      <w:r w:rsidR="001459F0" w:rsidRPr="003923F1">
        <w:t xml:space="preserve"> </w:t>
      </w:r>
      <w:r w:rsidR="00EE0BE1">
        <w:t xml:space="preserve">Kui varem </w:t>
      </w:r>
      <w:r w:rsidR="00011FA7">
        <w:t>toetati 45%</w:t>
      </w:r>
      <w:r w:rsidR="008154B0">
        <w:t>-</w:t>
      </w:r>
      <w:proofErr w:type="spellStart"/>
      <w:r w:rsidR="008154B0">
        <w:t>lise</w:t>
      </w:r>
      <w:proofErr w:type="spellEnd"/>
      <w:r w:rsidR="00011FA7">
        <w:t xml:space="preserve"> toetuse määraga ainult neid mikro- ja väikeettevõt</w:t>
      </w:r>
      <w:r w:rsidR="008154B0">
        <w:t>jaid</w:t>
      </w:r>
      <w:r w:rsidR="00011FA7">
        <w:t>, kelle</w:t>
      </w:r>
      <w:r w:rsidR="0003063F">
        <w:t xml:space="preserve"> ettevõte</w:t>
      </w:r>
      <w:r w:rsidR="00011FA7">
        <w:t xml:space="preserve"> o</w:t>
      </w:r>
      <w:r w:rsidR="0003063F">
        <w:t>li</w:t>
      </w:r>
      <w:r w:rsidR="00011FA7">
        <w:t xml:space="preserve"> tunnust</w:t>
      </w:r>
      <w:r w:rsidR="0003063F">
        <w:t>atud</w:t>
      </w:r>
      <w:r w:rsidR="00011FA7">
        <w:t xml:space="preserve"> </w:t>
      </w:r>
      <w:r w:rsidR="0003063F" w:rsidRPr="0003063F">
        <w:t xml:space="preserve">mahepõllumajanduse valdkonnas </w:t>
      </w:r>
      <w:r w:rsidR="0003063F">
        <w:t>ja</w:t>
      </w:r>
      <w:r w:rsidR="00011FA7">
        <w:t xml:space="preserve"> kelle </w:t>
      </w:r>
      <w:r w:rsidR="0003063F">
        <w:t xml:space="preserve">kavandatava </w:t>
      </w:r>
      <w:r w:rsidR="00011FA7">
        <w:t xml:space="preserve">investeeringu eesmärk oli mahepõllunduslike toodete töötlemine või töötlemine ja turustamine, siis edaspidi on toetuse </w:t>
      </w:r>
      <w:r w:rsidR="008154B0">
        <w:t xml:space="preserve">maksimaalne </w:t>
      </w:r>
      <w:r w:rsidR="00011FA7">
        <w:t xml:space="preserve">määr kõikidel mikro- ja väikeettevõtjatel </w:t>
      </w:r>
      <w:r w:rsidR="0003063F">
        <w:t xml:space="preserve">ühesugune ehk </w:t>
      </w:r>
      <w:r w:rsidR="000F09F2">
        <w:t xml:space="preserve">toetust antakse kuni </w:t>
      </w:r>
      <w:r w:rsidR="00011FA7">
        <w:t>40% toetatava tegevuse abikõlbliku</w:t>
      </w:r>
      <w:r w:rsidR="0003063F">
        <w:t xml:space="preserve"> kulu</w:t>
      </w:r>
      <w:r w:rsidR="00011FA7">
        <w:t xml:space="preserve"> maksumusest. Muudatus tuleneb sellest, et </w:t>
      </w:r>
      <w:r w:rsidR="00E562F6" w:rsidRPr="00E562F6">
        <w:t>alates 2022.</w:t>
      </w:r>
      <w:r w:rsidR="00532EE1">
        <w:t> </w:t>
      </w:r>
      <w:r w:rsidR="00E562F6" w:rsidRPr="00E562F6">
        <w:t>a</w:t>
      </w:r>
      <w:r w:rsidR="00E562F6">
        <w:t>astast</w:t>
      </w:r>
      <w:r w:rsidR="00E562F6" w:rsidRPr="00E562F6">
        <w:t xml:space="preserve"> hakkasid kehtima uued regionaalabi suunised, mi</w:t>
      </w:r>
      <w:r w:rsidR="00E562F6">
        <w:t>lle kohasel</w:t>
      </w:r>
      <w:r w:rsidR="00821032">
        <w:t>t</w:t>
      </w:r>
      <w:r w:rsidR="00E562F6">
        <w:t xml:space="preserve"> muutusid</w:t>
      </w:r>
      <w:r w:rsidR="00E562F6" w:rsidRPr="00E562F6">
        <w:t xml:space="preserve"> ka regionaalabi piirmäärad</w:t>
      </w:r>
      <w:r w:rsidR="00E562F6">
        <w:t>. Kuna see t</w:t>
      </w:r>
      <w:r w:rsidR="00E562F6" w:rsidRPr="00E562F6">
        <w:t>oetus on regionaalabi komisjoni määruse (EL) nr 651/2014</w:t>
      </w:r>
      <w:r w:rsidR="00706118">
        <w:rPr>
          <w:rStyle w:val="FootnoteReference"/>
        </w:rPr>
        <w:footnoteReference w:id="2"/>
      </w:r>
      <w:r w:rsidR="00E562F6" w:rsidRPr="00E562F6">
        <w:t xml:space="preserve"> </w:t>
      </w:r>
      <w:r w:rsidR="00E562F6">
        <w:t>artiklite 13 ja 14 tähenduses, siis rakendatakse ka vastava</w:t>
      </w:r>
      <w:r w:rsidR="007C0D78">
        <w:t>i</w:t>
      </w:r>
      <w:r w:rsidR="00E562F6">
        <w:t>d regionaalabi piirmäärasid.</w:t>
      </w:r>
    </w:p>
    <w:p w14:paraId="3457DAE8" w14:textId="77777777" w:rsidR="0055496A" w:rsidRDefault="0055496A" w:rsidP="00E562F6">
      <w:pPr>
        <w:jc w:val="both"/>
      </w:pPr>
    </w:p>
    <w:p w14:paraId="28C33FDF" w14:textId="76421CDE" w:rsidR="00E562F6" w:rsidRDefault="000F09F2" w:rsidP="00247A48">
      <w:pPr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10. aprillil </w:t>
      </w:r>
      <w:r w:rsidR="002B3B53">
        <w:rPr>
          <w:rFonts w:eastAsia="SimSun" w:cs="Mangal"/>
          <w:kern w:val="1"/>
          <w:lang w:eastAsia="zh-CN" w:bidi="hi-IN"/>
        </w:rPr>
        <w:t xml:space="preserve">2021 </w:t>
      </w:r>
      <w:r>
        <w:rPr>
          <w:rFonts w:eastAsia="SimSun" w:cs="Mangal"/>
          <w:kern w:val="1"/>
          <w:lang w:eastAsia="zh-CN" w:bidi="hi-IN"/>
        </w:rPr>
        <w:t xml:space="preserve">kiideti </w:t>
      </w:r>
      <w:r w:rsidR="00E562F6" w:rsidRPr="003923F1">
        <w:rPr>
          <w:rFonts w:eastAsia="SimSun" w:cs="Mangal"/>
          <w:kern w:val="1"/>
          <w:lang w:eastAsia="zh-CN" w:bidi="hi-IN"/>
        </w:rPr>
        <w:t xml:space="preserve">Euroopa Komisjoni </w:t>
      </w:r>
      <w:r w:rsidR="00247A48">
        <w:rPr>
          <w:rFonts w:eastAsia="SimSun" w:cs="Mangal"/>
          <w:kern w:val="1"/>
          <w:lang w:eastAsia="zh-CN" w:bidi="hi-IN"/>
        </w:rPr>
        <w:t>otsusega</w:t>
      </w:r>
      <w:r w:rsidR="00E562F6" w:rsidRPr="003923F1">
        <w:rPr>
          <w:rFonts w:eastAsia="SimSun" w:cs="Mangal"/>
          <w:kern w:val="1"/>
          <w:lang w:eastAsia="zh-CN" w:bidi="hi-IN"/>
        </w:rPr>
        <w:t xml:space="preserve"> </w:t>
      </w:r>
      <w:r w:rsidR="000C1269">
        <w:rPr>
          <w:rFonts w:eastAsia="SimSun" w:cs="Mangal"/>
          <w:kern w:val="1"/>
          <w:lang w:eastAsia="zh-CN" w:bidi="hi-IN"/>
        </w:rPr>
        <w:t>heaks</w:t>
      </w:r>
      <w:r w:rsidR="000C1269" w:rsidRPr="003923F1">
        <w:rPr>
          <w:rFonts w:eastAsia="SimSun" w:cs="Mangal"/>
          <w:kern w:val="1"/>
          <w:lang w:eastAsia="zh-CN" w:bidi="hi-IN"/>
        </w:rPr>
        <w:t xml:space="preserve"> </w:t>
      </w:r>
      <w:r w:rsidR="00E562F6" w:rsidRPr="003923F1">
        <w:rPr>
          <w:rFonts w:eastAsia="SimSun" w:cs="Mangal"/>
          <w:kern w:val="1"/>
          <w:lang w:eastAsia="zh-CN" w:bidi="hi-IN"/>
        </w:rPr>
        <w:t>Eesti regionaalabi kaart aastateks 2022</w:t>
      </w:r>
      <w:r w:rsidR="00E562F6">
        <w:rPr>
          <w:rFonts w:eastAsia="SimSun"/>
          <w:kern w:val="1"/>
          <w:lang w:eastAsia="zh-CN" w:bidi="hi-IN"/>
        </w:rPr>
        <w:t>–</w:t>
      </w:r>
      <w:r w:rsidR="00E562F6" w:rsidRPr="003923F1">
        <w:rPr>
          <w:rFonts w:eastAsia="SimSun" w:cs="Mangal"/>
          <w:kern w:val="1"/>
          <w:lang w:eastAsia="zh-CN" w:bidi="hi-IN"/>
        </w:rPr>
        <w:t xml:space="preserve">2027, </w:t>
      </w:r>
      <w:r w:rsidR="00247A48" w:rsidRPr="00247A48">
        <w:rPr>
          <w:rFonts w:eastAsia="SimSun" w:cs="Mangal"/>
          <w:kern w:val="1"/>
          <w:lang w:eastAsia="zh-CN" w:bidi="hi-IN"/>
        </w:rPr>
        <w:t>mida</w:t>
      </w:r>
      <w:r w:rsidR="00247A48">
        <w:rPr>
          <w:rFonts w:eastAsia="SimSun" w:cs="Mangal"/>
          <w:kern w:val="1"/>
          <w:lang w:eastAsia="zh-CN" w:bidi="hi-IN"/>
        </w:rPr>
        <w:t xml:space="preserve"> </w:t>
      </w:r>
      <w:r w:rsidR="00247A48" w:rsidRPr="00247A48">
        <w:rPr>
          <w:rFonts w:eastAsia="SimSun" w:cs="Mangal"/>
          <w:kern w:val="1"/>
          <w:lang w:eastAsia="zh-CN" w:bidi="hi-IN"/>
        </w:rPr>
        <w:t>kohaldatakse alates 1. jaanuarist 2022 kuni 31. detsembrini 2027</w:t>
      </w:r>
      <w:r w:rsidR="00E562F6" w:rsidRPr="003923F1">
        <w:rPr>
          <w:rFonts w:eastAsia="SimSun" w:cs="Mangal"/>
          <w:kern w:val="1"/>
          <w:lang w:eastAsia="zh-CN" w:bidi="hi-IN"/>
        </w:rPr>
        <w:t xml:space="preserve">. Regionaalabi kaardi moodustavad liikmesriigi need piirkonnad, kus on </w:t>
      </w:r>
      <w:hyperlink r:id="rId12" w:history="1">
        <w:r w:rsidR="00F82884" w:rsidRPr="003D5A53">
          <w:rPr>
            <w:rStyle w:val="Hyperlink"/>
            <w:rFonts w:eastAsia="SimSun" w:cs="Mangal"/>
            <w:kern w:val="1"/>
            <w:lang w:eastAsia="zh-CN" w:bidi="hi-IN"/>
          </w:rPr>
          <w:t>r</w:t>
        </w:r>
        <w:r w:rsidR="00E562F6" w:rsidRPr="003D5A53">
          <w:rPr>
            <w:rStyle w:val="Hyperlink"/>
            <w:rFonts w:eastAsia="SimSun" w:cs="Mangal"/>
            <w:kern w:val="1"/>
            <w:lang w:eastAsia="zh-CN" w:bidi="hi-IN"/>
          </w:rPr>
          <w:t xml:space="preserve">egionaalabi suuniste </w:t>
        </w:r>
        <w:r w:rsidR="00F82884" w:rsidRPr="003D5A53">
          <w:rPr>
            <w:rStyle w:val="Hyperlink"/>
            <w:rFonts w:eastAsia="SimSun" w:cs="Mangal"/>
            <w:kern w:val="1"/>
            <w:lang w:eastAsia="zh-CN" w:bidi="hi-IN"/>
          </w:rPr>
          <w:t>(</w:t>
        </w:r>
        <w:r w:rsidR="00E562F6" w:rsidRPr="003D5A53">
          <w:rPr>
            <w:rStyle w:val="Hyperlink"/>
            <w:rFonts w:eastAsia="SimSun" w:cs="Mangal"/>
            <w:kern w:val="1"/>
            <w:lang w:eastAsia="zh-CN" w:bidi="hi-IN"/>
          </w:rPr>
          <w:t>2022</w:t>
        </w:r>
        <w:r w:rsidR="00E562F6" w:rsidRPr="003D5A53">
          <w:rPr>
            <w:rStyle w:val="Hyperlink"/>
            <w:rFonts w:eastAsia="SimSun"/>
            <w:kern w:val="1"/>
            <w:lang w:eastAsia="zh-CN" w:bidi="hi-IN"/>
          </w:rPr>
          <w:t>–</w:t>
        </w:r>
        <w:r w:rsidR="00E562F6" w:rsidRPr="003D5A53">
          <w:rPr>
            <w:rStyle w:val="Hyperlink"/>
            <w:rFonts w:eastAsia="SimSun" w:cs="Mangal"/>
            <w:kern w:val="1"/>
            <w:lang w:eastAsia="zh-CN" w:bidi="hi-IN"/>
          </w:rPr>
          <w:t>2027</w:t>
        </w:r>
        <w:r w:rsidR="00F82884" w:rsidRPr="003D5A53">
          <w:rPr>
            <w:rStyle w:val="Hyperlink"/>
            <w:rFonts w:eastAsia="SimSun" w:cs="Mangal"/>
            <w:kern w:val="1"/>
            <w:lang w:eastAsia="zh-CN" w:bidi="hi-IN"/>
          </w:rPr>
          <w:t>)</w:t>
        </w:r>
      </w:hyperlink>
      <w:r w:rsidR="007406BD">
        <w:rPr>
          <w:rStyle w:val="FootnoteReference"/>
          <w:rFonts w:eastAsia="SimSun" w:cs="Mangal"/>
          <w:kern w:val="1"/>
          <w:u w:val="single"/>
          <w:lang w:eastAsia="zh-CN" w:bidi="hi-IN"/>
        </w:rPr>
        <w:footnoteReference w:id="3"/>
      </w:r>
      <w:r w:rsidR="00E562F6" w:rsidRPr="00F82884">
        <w:rPr>
          <w:rFonts w:eastAsia="SimSun" w:cs="Mangal"/>
          <w:kern w:val="1"/>
          <w:lang w:eastAsia="zh-CN" w:bidi="hi-IN"/>
        </w:rPr>
        <w:t xml:space="preserve"> </w:t>
      </w:r>
      <w:r w:rsidR="001B2619">
        <w:rPr>
          <w:rFonts w:eastAsia="SimSun" w:cs="Mangal"/>
          <w:kern w:val="1"/>
          <w:lang w:eastAsia="zh-CN" w:bidi="hi-IN"/>
        </w:rPr>
        <w:t xml:space="preserve">kohaselt </w:t>
      </w:r>
      <w:r w:rsidR="00E562F6" w:rsidRPr="003923F1">
        <w:rPr>
          <w:rFonts w:eastAsia="SimSun" w:cs="Mangal"/>
          <w:kern w:val="1"/>
          <w:lang w:eastAsia="zh-CN" w:bidi="hi-IN"/>
        </w:rPr>
        <w:t>lubatud anda regionaalabi (riigiabi regionaalarenguks)</w:t>
      </w:r>
      <w:r w:rsidR="00247A48">
        <w:rPr>
          <w:rFonts w:eastAsia="SimSun" w:cs="Mangal"/>
          <w:kern w:val="1"/>
          <w:lang w:eastAsia="zh-CN" w:bidi="hi-IN"/>
        </w:rPr>
        <w:t>,</w:t>
      </w:r>
      <w:r w:rsidR="00E562F6" w:rsidRPr="003923F1">
        <w:rPr>
          <w:rFonts w:eastAsia="SimSun" w:cs="Mangal"/>
          <w:kern w:val="1"/>
          <w:lang w:eastAsia="zh-CN" w:bidi="hi-IN"/>
        </w:rPr>
        <w:t xml:space="preserve"> ning regionaalabi maksimaalsed osakaalud</w:t>
      </w:r>
      <w:r w:rsidR="00247A48">
        <w:rPr>
          <w:rFonts w:eastAsia="SimSun" w:cs="Mangal"/>
          <w:kern w:val="1"/>
          <w:lang w:eastAsia="zh-CN" w:bidi="hi-IN"/>
        </w:rPr>
        <w:t xml:space="preserve"> abikõlblikes kuludes</w:t>
      </w:r>
      <w:r w:rsidR="00E562F6" w:rsidRPr="003923F1">
        <w:rPr>
          <w:rFonts w:eastAsia="SimSun" w:cs="Mangal"/>
          <w:kern w:val="1"/>
          <w:lang w:eastAsia="zh-CN" w:bidi="hi-IN"/>
        </w:rPr>
        <w:t xml:space="preserve"> ettevõtja kohta.</w:t>
      </w:r>
    </w:p>
    <w:p w14:paraId="4D75A51D" w14:textId="77777777" w:rsidR="0055496A" w:rsidRPr="003923F1" w:rsidRDefault="0055496A" w:rsidP="00E562F6">
      <w:pPr>
        <w:jc w:val="both"/>
        <w:rPr>
          <w:rFonts w:eastAsia="SimSun" w:cs="Mangal"/>
          <w:i/>
          <w:kern w:val="1"/>
          <w:u w:val="single"/>
          <w:lang w:eastAsia="zh-CN" w:bidi="hi-IN"/>
        </w:rPr>
      </w:pPr>
    </w:p>
    <w:p w14:paraId="05363218" w14:textId="04152B85" w:rsidR="001459F0" w:rsidRDefault="00E562F6" w:rsidP="004356F0">
      <w:pPr>
        <w:jc w:val="both"/>
      </w:pPr>
      <w:r>
        <w:t>Regionaalabi suuniste kohaselt võib kohaldada suurettevõtjate suhtes ajavahemikul 1. jaanuarist 2022 kuni 31. detsembrini 2024 kuni 20%</w:t>
      </w:r>
      <w:r w:rsidR="0069448E">
        <w:t>-list</w:t>
      </w:r>
      <w:r>
        <w:t xml:space="preserve"> abimäära ning kohaldatavat abi ülemmäära võib </w:t>
      </w:r>
      <w:r>
        <w:lastRenderedPageBreak/>
        <w:t>suurendada keskmise suurusega ettevõtjate puhul 10</w:t>
      </w:r>
      <w:r w:rsidR="000C1269">
        <w:t>%</w:t>
      </w:r>
      <w:r>
        <w:t xml:space="preserve"> võrra ja väikeettevõtjate puhul 20</w:t>
      </w:r>
      <w:r w:rsidR="000C1269">
        <w:t>%</w:t>
      </w:r>
      <w:r>
        <w:t xml:space="preserve"> võrra. See tähendab, et kuni 31. detsembrini</w:t>
      </w:r>
      <w:r w:rsidR="002B3B53">
        <w:t xml:space="preserve"> 2024</w:t>
      </w:r>
      <w:r>
        <w:t xml:space="preserve"> võib mikro- ja väikeettevõtjatele kohaldada kuni 40%</w:t>
      </w:r>
      <w:r w:rsidR="0069448E">
        <w:t>-list</w:t>
      </w:r>
      <w:r>
        <w:t xml:space="preserve"> abimäära.</w:t>
      </w:r>
      <w:r w:rsidR="00151030">
        <w:t xml:space="preserve"> Võttes arvesse </w:t>
      </w:r>
      <w:r w:rsidR="00151030" w:rsidRPr="003923F1">
        <w:t xml:space="preserve">Eesti majanduse hetkeolukorda, kus ehitushinnad ja erinevate sisendite </w:t>
      </w:r>
      <w:r w:rsidR="000C1269" w:rsidRPr="003923F1">
        <w:t>(</w:t>
      </w:r>
      <w:r w:rsidR="000C1269">
        <w:t xml:space="preserve">nt </w:t>
      </w:r>
      <w:r w:rsidR="000C1269" w:rsidRPr="003923F1">
        <w:t>elekter, gaas, tooraine</w:t>
      </w:r>
      <w:r w:rsidR="000C1269">
        <w:t xml:space="preserve">) </w:t>
      </w:r>
      <w:r w:rsidR="00151030" w:rsidRPr="003923F1">
        <w:t xml:space="preserve">hinnad </w:t>
      </w:r>
      <w:r w:rsidR="00151030">
        <w:t>on märkimisväärselt tõusnud</w:t>
      </w:r>
      <w:r w:rsidR="000C1269">
        <w:t>,</w:t>
      </w:r>
      <w:r w:rsidR="00151030">
        <w:t xml:space="preserve"> ning </w:t>
      </w:r>
      <w:r w:rsidR="00A97908">
        <w:t xml:space="preserve">ka asjaolu, et </w:t>
      </w:r>
      <w:r w:rsidR="00151030">
        <w:t>käesolev programmiperiood hakkab lõppema</w:t>
      </w:r>
      <w:r w:rsidR="00376448">
        <w:t>,</w:t>
      </w:r>
      <w:r w:rsidR="00151030">
        <w:t xml:space="preserve"> on oluline võimaldada ettevõtjatel jätkata investeeringu</w:t>
      </w:r>
      <w:r w:rsidR="00A97908">
        <w:t>te</w:t>
      </w:r>
      <w:r w:rsidR="00151030">
        <w:t xml:space="preserve"> </w:t>
      </w:r>
      <w:r w:rsidR="00A97908">
        <w:t xml:space="preserve">tegemist </w:t>
      </w:r>
      <w:r w:rsidR="00151030">
        <w:t>kavandatud mahus, et a</w:t>
      </w:r>
      <w:r w:rsidR="00376448">
        <w:t>idata</w:t>
      </w:r>
      <w:r w:rsidR="00151030">
        <w:t xml:space="preserve"> </w:t>
      </w:r>
      <w:r w:rsidR="000C1269">
        <w:t>saavutada</w:t>
      </w:r>
      <w:r w:rsidR="000C1269" w:rsidRPr="00151030">
        <w:t xml:space="preserve"> </w:t>
      </w:r>
      <w:r w:rsidR="00151030" w:rsidRPr="00151030">
        <w:t>selle toetuse eesmärk</w:t>
      </w:r>
      <w:r w:rsidR="00EF4382">
        <w:t>e</w:t>
      </w:r>
      <w:r w:rsidR="00151030" w:rsidRPr="00151030">
        <w:t>, milleks on</w:t>
      </w:r>
      <w:r w:rsidR="00051745">
        <w:t xml:space="preserve"> suurendada</w:t>
      </w:r>
      <w:r w:rsidR="00151030" w:rsidRPr="00151030">
        <w:t xml:space="preserve"> jaekaubandusele suunatud kõrgema lisandväärtusega toodete töötlemise osakaalu, </w:t>
      </w:r>
      <w:r w:rsidR="00051745">
        <w:t xml:space="preserve">parandada </w:t>
      </w:r>
      <w:r w:rsidR="00151030" w:rsidRPr="00151030">
        <w:t>kõrgema lisandväärtusega toodete töötlemise tõhusus</w:t>
      </w:r>
      <w:r w:rsidR="00051745">
        <w:t>t</w:t>
      </w:r>
      <w:r w:rsidR="00151030">
        <w:t>,</w:t>
      </w:r>
      <w:r w:rsidR="00151030" w:rsidRPr="00151030">
        <w:t xml:space="preserve"> </w:t>
      </w:r>
      <w:r w:rsidR="00051745">
        <w:t xml:space="preserve">mitmekesistada </w:t>
      </w:r>
      <w:r w:rsidR="00151030" w:rsidRPr="00151030">
        <w:t>tegevusvaldkond</w:t>
      </w:r>
      <w:r w:rsidR="00051745">
        <w:t>i</w:t>
      </w:r>
      <w:r w:rsidR="00151030" w:rsidRPr="00151030">
        <w:t xml:space="preserve"> ja </w:t>
      </w:r>
      <w:r w:rsidR="00051745">
        <w:t xml:space="preserve">hõlbustada </w:t>
      </w:r>
      <w:r w:rsidR="00151030" w:rsidRPr="00151030">
        <w:t>töökohtade loomis</w:t>
      </w:r>
      <w:r w:rsidR="00051745">
        <w:t>t</w:t>
      </w:r>
      <w:r w:rsidR="00151030" w:rsidRPr="00151030">
        <w:t>.</w:t>
      </w:r>
    </w:p>
    <w:p w14:paraId="1790D726" w14:textId="77777777" w:rsidR="00CE4E56" w:rsidRPr="003923F1" w:rsidRDefault="00CE4E56" w:rsidP="004356F0">
      <w:pPr>
        <w:jc w:val="both"/>
      </w:pPr>
    </w:p>
    <w:p w14:paraId="1F720128" w14:textId="77777777" w:rsidR="001A4252" w:rsidRDefault="00DE3DE6" w:rsidP="003977F8">
      <w:pPr>
        <w:jc w:val="both"/>
      </w:pPr>
      <w:r w:rsidRPr="003923F1">
        <w:rPr>
          <w:b/>
        </w:rPr>
        <w:t>Eelnõu punkti</w:t>
      </w:r>
      <w:r w:rsidR="004B6FD1">
        <w:rPr>
          <w:b/>
        </w:rPr>
        <w:t>s</w:t>
      </w:r>
      <w:r w:rsidRPr="003923F1">
        <w:rPr>
          <w:b/>
        </w:rPr>
        <w:t xml:space="preserve"> </w:t>
      </w:r>
      <w:r w:rsidR="00CE4E56">
        <w:rPr>
          <w:b/>
        </w:rPr>
        <w:t>4</w:t>
      </w:r>
      <w:r w:rsidRPr="003923F1">
        <w:t xml:space="preserve"> </w:t>
      </w:r>
      <w:r w:rsidR="004B6FD1">
        <w:t xml:space="preserve">tehakse </w:t>
      </w:r>
      <w:r w:rsidR="00CE4E56">
        <w:t xml:space="preserve">määruse § 8 lõikes 3 muudatus, </w:t>
      </w:r>
      <w:r w:rsidR="005E7385" w:rsidRPr="003923F1">
        <w:rPr>
          <w:rFonts w:eastAsia="SimSun" w:cs="Mangal"/>
          <w:kern w:val="1"/>
          <w:lang w:eastAsia="zh-CN" w:bidi="hi-IN"/>
        </w:rPr>
        <w:t xml:space="preserve">millega vähendatakse </w:t>
      </w:r>
      <w:r w:rsidR="005E7385" w:rsidRPr="003923F1">
        <w:t>toetus</w:t>
      </w:r>
      <w:r w:rsidR="004B6FD1">
        <w:t xml:space="preserve">e </w:t>
      </w:r>
      <w:r w:rsidR="00AF2978" w:rsidRPr="003923F1">
        <w:rPr>
          <w:rFonts w:eastAsia="SimSun" w:cs="Mangal"/>
          <w:kern w:val="1"/>
          <w:lang w:eastAsia="zh-CN" w:bidi="hi-IN"/>
        </w:rPr>
        <w:t>maksimaalset</w:t>
      </w:r>
      <w:r w:rsidR="00AF2978" w:rsidRPr="003923F1">
        <w:t xml:space="preserve"> </w:t>
      </w:r>
      <w:r w:rsidR="005E7385" w:rsidRPr="003923F1">
        <w:t>määra</w:t>
      </w:r>
      <w:r w:rsidR="004B6FD1">
        <w:rPr>
          <w:rFonts w:eastAsia="SimSun" w:cs="Mangal"/>
          <w:kern w:val="1"/>
          <w:lang w:eastAsia="zh-CN" w:bidi="hi-IN"/>
        </w:rPr>
        <w:t>.</w:t>
      </w:r>
      <w:r w:rsidR="005E7385" w:rsidRPr="003923F1">
        <w:rPr>
          <w:rFonts w:eastAsia="SimSun" w:cs="Mangal"/>
          <w:kern w:val="1"/>
          <w:lang w:eastAsia="zh-CN" w:bidi="hi-IN"/>
        </w:rPr>
        <w:t xml:space="preserve"> Kui varem oli </w:t>
      </w:r>
      <w:r w:rsidR="00AD7EFB">
        <w:rPr>
          <w:rFonts w:eastAsia="SimSun" w:cs="Mangal"/>
          <w:kern w:val="1"/>
          <w:lang w:eastAsia="zh-CN" w:bidi="hi-IN"/>
        </w:rPr>
        <w:t xml:space="preserve">nendel </w:t>
      </w:r>
      <w:r w:rsidR="005E7385" w:rsidRPr="003923F1">
        <w:rPr>
          <w:rFonts w:eastAsia="SimSun" w:cs="Mangal"/>
          <w:kern w:val="1"/>
          <w:lang w:eastAsia="zh-CN" w:bidi="hi-IN"/>
        </w:rPr>
        <w:t>mikro- ja väikeettevõtjatel</w:t>
      </w:r>
      <w:r w:rsidR="009D0240">
        <w:rPr>
          <w:rFonts w:eastAsia="SimSun" w:cs="Mangal"/>
          <w:kern w:val="1"/>
          <w:lang w:eastAsia="zh-CN" w:bidi="hi-IN"/>
        </w:rPr>
        <w:t xml:space="preserve">, </w:t>
      </w:r>
      <w:r w:rsidR="009D0240" w:rsidRPr="009D0240">
        <w:rPr>
          <w:rFonts w:eastAsia="SimSun" w:cs="Mangal"/>
          <w:kern w:val="1"/>
          <w:lang w:eastAsia="zh-CN" w:bidi="hi-IN"/>
        </w:rPr>
        <w:t>kelle</w:t>
      </w:r>
      <w:r w:rsidR="00AF2978">
        <w:rPr>
          <w:rFonts w:eastAsia="SimSun" w:cs="Mangal"/>
          <w:kern w:val="1"/>
          <w:lang w:eastAsia="zh-CN" w:bidi="hi-IN"/>
        </w:rPr>
        <w:t xml:space="preserve"> ettevõte</w:t>
      </w:r>
      <w:r w:rsidR="009D0240" w:rsidRPr="009D0240">
        <w:rPr>
          <w:rFonts w:eastAsia="SimSun" w:cs="Mangal"/>
          <w:kern w:val="1"/>
          <w:lang w:eastAsia="zh-CN" w:bidi="hi-IN"/>
        </w:rPr>
        <w:t xml:space="preserve"> o</w:t>
      </w:r>
      <w:r w:rsidR="00AF2978">
        <w:rPr>
          <w:rFonts w:eastAsia="SimSun" w:cs="Mangal"/>
          <w:kern w:val="1"/>
          <w:lang w:eastAsia="zh-CN" w:bidi="hi-IN"/>
        </w:rPr>
        <w:t>li</w:t>
      </w:r>
      <w:r w:rsidR="009D0240" w:rsidRPr="009D0240">
        <w:rPr>
          <w:rFonts w:eastAsia="SimSun" w:cs="Mangal"/>
          <w:kern w:val="1"/>
          <w:lang w:eastAsia="zh-CN" w:bidi="hi-IN"/>
        </w:rPr>
        <w:t xml:space="preserve"> tunnust</w:t>
      </w:r>
      <w:r w:rsidR="00AF2978">
        <w:rPr>
          <w:rFonts w:eastAsia="SimSun" w:cs="Mangal"/>
          <w:kern w:val="1"/>
          <w:lang w:eastAsia="zh-CN" w:bidi="hi-IN"/>
        </w:rPr>
        <w:t xml:space="preserve">atud </w:t>
      </w:r>
      <w:r w:rsidR="00AF2978" w:rsidRPr="00AF2978">
        <w:rPr>
          <w:rFonts w:eastAsia="SimSun" w:cs="Mangal"/>
          <w:kern w:val="1"/>
          <w:lang w:eastAsia="zh-CN" w:bidi="hi-IN"/>
        </w:rPr>
        <w:t xml:space="preserve">mahepõllumajanduse </w:t>
      </w:r>
      <w:r w:rsidR="00AF2978">
        <w:rPr>
          <w:rFonts w:eastAsia="SimSun" w:cs="Mangal"/>
          <w:kern w:val="1"/>
          <w:lang w:eastAsia="zh-CN" w:bidi="hi-IN"/>
        </w:rPr>
        <w:t>valdkonnas</w:t>
      </w:r>
      <w:r w:rsidR="009D0240" w:rsidRPr="009D0240">
        <w:rPr>
          <w:rFonts w:eastAsia="SimSun" w:cs="Mangal"/>
          <w:kern w:val="1"/>
          <w:lang w:eastAsia="zh-CN" w:bidi="hi-IN"/>
        </w:rPr>
        <w:t xml:space="preserve"> </w:t>
      </w:r>
      <w:r w:rsidR="00AF2978">
        <w:rPr>
          <w:rFonts w:eastAsia="SimSun" w:cs="Mangal"/>
          <w:kern w:val="1"/>
          <w:lang w:eastAsia="zh-CN" w:bidi="hi-IN"/>
        </w:rPr>
        <w:t>ja</w:t>
      </w:r>
      <w:r w:rsidR="009D0240" w:rsidRPr="009D0240">
        <w:rPr>
          <w:rFonts w:eastAsia="SimSun" w:cs="Mangal"/>
          <w:kern w:val="1"/>
          <w:lang w:eastAsia="zh-CN" w:bidi="hi-IN"/>
        </w:rPr>
        <w:t xml:space="preserve"> kelle</w:t>
      </w:r>
      <w:r w:rsidR="000D20F1">
        <w:rPr>
          <w:rFonts w:eastAsia="SimSun" w:cs="Mangal"/>
          <w:kern w:val="1"/>
          <w:lang w:eastAsia="zh-CN" w:bidi="hi-IN"/>
        </w:rPr>
        <w:t xml:space="preserve"> </w:t>
      </w:r>
      <w:r w:rsidR="00AE11F5">
        <w:rPr>
          <w:rFonts w:eastAsia="SimSun" w:cs="Mangal"/>
          <w:kern w:val="1"/>
          <w:lang w:eastAsia="zh-CN" w:bidi="hi-IN"/>
        </w:rPr>
        <w:t>kavandatava</w:t>
      </w:r>
      <w:r w:rsidR="009D0240" w:rsidRPr="009D0240">
        <w:rPr>
          <w:rFonts w:eastAsia="SimSun" w:cs="Mangal"/>
          <w:kern w:val="1"/>
          <w:lang w:eastAsia="zh-CN" w:bidi="hi-IN"/>
        </w:rPr>
        <w:t xml:space="preserve"> investeeringu eesmärk oli mahepõllunduslike toodete töötlemine või töötlemine ja turustamine</w:t>
      </w:r>
      <w:r w:rsidR="00AD7EFB">
        <w:rPr>
          <w:rFonts w:eastAsia="SimSun" w:cs="Mangal"/>
          <w:kern w:val="1"/>
          <w:lang w:eastAsia="zh-CN" w:bidi="hi-IN"/>
        </w:rPr>
        <w:t>,</w:t>
      </w:r>
      <w:r w:rsidR="004B6FD1">
        <w:rPr>
          <w:rFonts w:eastAsia="SimSun" w:cs="Mangal"/>
          <w:kern w:val="1"/>
          <w:lang w:eastAsia="zh-CN" w:bidi="hi-IN"/>
        </w:rPr>
        <w:t xml:space="preserve"> toetuse </w:t>
      </w:r>
      <w:r w:rsidR="00AF2978">
        <w:rPr>
          <w:rFonts w:eastAsia="SimSun" w:cs="Mangal"/>
          <w:kern w:val="1"/>
          <w:lang w:eastAsia="zh-CN" w:bidi="hi-IN"/>
        </w:rPr>
        <w:t xml:space="preserve">maksimaalne </w:t>
      </w:r>
      <w:r w:rsidR="004B6FD1">
        <w:rPr>
          <w:rFonts w:eastAsia="SimSun" w:cs="Mangal"/>
          <w:kern w:val="1"/>
          <w:lang w:eastAsia="zh-CN" w:bidi="hi-IN"/>
        </w:rPr>
        <w:t>määr 45% toetatava tegevuse abikõlbliku</w:t>
      </w:r>
      <w:r w:rsidR="00AD7EFB">
        <w:rPr>
          <w:rFonts w:eastAsia="SimSun" w:cs="Mangal"/>
          <w:kern w:val="1"/>
          <w:lang w:eastAsia="zh-CN" w:bidi="hi-IN"/>
        </w:rPr>
        <w:t xml:space="preserve"> kulu</w:t>
      </w:r>
      <w:r w:rsidR="004B6FD1">
        <w:rPr>
          <w:rFonts w:eastAsia="SimSun" w:cs="Mangal"/>
          <w:kern w:val="1"/>
          <w:lang w:eastAsia="zh-CN" w:bidi="hi-IN"/>
        </w:rPr>
        <w:t xml:space="preserve"> maksumusest, siis edaspidi on </w:t>
      </w:r>
      <w:r w:rsidR="0001294E">
        <w:rPr>
          <w:rFonts w:eastAsia="SimSun" w:cs="Mangal"/>
          <w:kern w:val="1"/>
          <w:lang w:eastAsia="zh-CN" w:bidi="hi-IN"/>
        </w:rPr>
        <w:t xml:space="preserve">ka </w:t>
      </w:r>
      <w:r w:rsidR="009D0240">
        <w:rPr>
          <w:rFonts w:eastAsia="SimSun" w:cs="Mangal"/>
          <w:kern w:val="1"/>
          <w:lang w:eastAsia="zh-CN" w:bidi="hi-IN"/>
        </w:rPr>
        <w:t>ne</w:t>
      </w:r>
      <w:r w:rsidR="0001294E">
        <w:rPr>
          <w:rFonts w:eastAsia="SimSun" w:cs="Mangal"/>
          <w:kern w:val="1"/>
          <w:lang w:eastAsia="zh-CN" w:bidi="hi-IN"/>
        </w:rPr>
        <w:t>nde</w:t>
      </w:r>
      <w:r w:rsidR="009D0240">
        <w:rPr>
          <w:rFonts w:eastAsia="SimSun" w:cs="Mangal"/>
          <w:kern w:val="1"/>
          <w:lang w:eastAsia="zh-CN" w:bidi="hi-IN"/>
        </w:rPr>
        <w:t xml:space="preserve">l ettevõtjatel </w:t>
      </w:r>
      <w:r w:rsidR="004B6FD1">
        <w:rPr>
          <w:rFonts w:eastAsia="SimSun" w:cs="Mangal"/>
          <w:kern w:val="1"/>
          <w:lang w:eastAsia="zh-CN" w:bidi="hi-IN"/>
        </w:rPr>
        <w:t xml:space="preserve">toetuse </w:t>
      </w:r>
      <w:r w:rsidR="0001294E">
        <w:rPr>
          <w:rFonts w:eastAsia="SimSun" w:cs="Mangal"/>
          <w:kern w:val="1"/>
          <w:lang w:eastAsia="zh-CN" w:bidi="hi-IN"/>
        </w:rPr>
        <w:t xml:space="preserve">maksimaalne </w:t>
      </w:r>
      <w:r w:rsidR="004B6FD1">
        <w:rPr>
          <w:rFonts w:eastAsia="SimSun" w:cs="Mangal"/>
          <w:kern w:val="1"/>
          <w:lang w:eastAsia="zh-CN" w:bidi="hi-IN"/>
        </w:rPr>
        <w:t>määr</w:t>
      </w:r>
      <w:r w:rsidR="005E7385" w:rsidRPr="003923F1">
        <w:rPr>
          <w:rFonts w:eastAsia="SimSun" w:cs="Mangal"/>
          <w:kern w:val="1"/>
          <w:lang w:eastAsia="zh-CN" w:bidi="hi-IN"/>
        </w:rPr>
        <w:t xml:space="preserve"> </w:t>
      </w:r>
      <w:r w:rsidR="000C1269">
        <w:rPr>
          <w:rFonts w:eastAsia="SimSun" w:cs="Mangal"/>
          <w:kern w:val="1"/>
          <w:lang w:eastAsia="zh-CN" w:bidi="hi-IN"/>
        </w:rPr>
        <w:t>5%</w:t>
      </w:r>
      <w:r w:rsidR="005E7385" w:rsidRPr="003923F1">
        <w:rPr>
          <w:rFonts w:eastAsia="SimSun" w:cs="Mangal"/>
          <w:kern w:val="1"/>
          <w:lang w:eastAsia="zh-CN" w:bidi="hi-IN"/>
        </w:rPr>
        <w:t xml:space="preserve"> võrra </w:t>
      </w:r>
      <w:r w:rsidR="004B6FD1">
        <w:rPr>
          <w:rFonts w:eastAsia="SimSun" w:cs="Mangal"/>
          <w:kern w:val="1"/>
          <w:lang w:eastAsia="zh-CN" w:bidi="hi-IN"/>
        </w:rPr>
        <w:t xml:space="preserve">väiksem </w:t>
      </w:r>
      <w:r w:rsidR="005E7385" w:rsidRPr="003923F1">
        <w:rPr>
          <w:rFonts w:eastAsia="SimSun" w:cs="Mangal"/>
          <w:kern w:val="1"/>
          <w:lang w:eastAsia="zh-CN" w:bidi="hi-IN"/>
        </w:rPr>
        <w:t>ehk 40%</w:t>
      </w:r>
      <w:r w:rsidR="004B6FD1">
        <w:rPr>
          <w:rFonts w:eastAsia="SimSun" w:cs="Mangal"/>
          <w:kern w:val="1"/>
          <w:lang w:eastAsia="zh-CN" w:bidi="hi-IN"/>
        </w:rPr>
        <w:t xml:space="preserve"> toetatava tegevuse abikõlbliku</w:t>
      </w:r>
      <w:r w:rsidR="0001294E">
        <w:rPr>
          <w:rFonts w:eastAsia="SimSun" w:cs="Mangal"/>
          <w:kern w:val="1"/>
          <w:lang w:eastAsia="zh-CN" w:bidi="hi-IN"/>
        </w:rPr>
        <w:t xml:space="preserve"> kulu</w:t>
      </w:r>
      <w:r w:rsidR="004B6FD1">
        <w:rPr>
          <w:rFonts w:eastAsia="SimSun" w:cs="Mangal"/>
          <w:kern w:val="1"/>
          <w:lang w:eastAsia="zh-CN" w:bidi="hi-IN"/>
        </w:rPr>
        <w:t xml:space="preserve"> maksumusest.</w:t>
      </w:r>
      <w:r w:rsidR="00AC2203">
        <w:rPr>
          <w:rFonts w:eastAsia="SimSun" w:cs="Mangal"/>
          <w:kern w:val="1"/>
          <w:lang w:eastAsia="zh-CN" w:bidi="hi-IN"/>
        </w:rPr>
        <w:t xml:space="preserve"> </w:t>
      </w:r>
      <w:r w:rsidR="009D0240">
        <w:rPr>
          <w:rFonts w:eastAsia="SimSun" w:cs="Mangal"/>
          <w:kern w:val="1"/>
          <w:lang w:eastAsia="zh-CN" w:bidi="hi-IN"/>
        </w:rPr>
        <w:t>Muudatuse tulemuse</w:t>
      </w:r>
      <w:r w:rsidR="0001294E">
        <w:rPr>
          <w:rFonts w:eastAsia="SimSun" w:cs="Mangal"/>
          <w:kern w:val="1"/>
          <w:lang w:eastAsia="zh-CN" w:bidi="hi-IN"/>
        </w:rPr>
        <w:t>l</w:t>
      </w:r>
      <w:r w:rsidR="009D0240">
        <w:rPr>
          <w:rFonts w:eastAsia="SimSun" w:cs="Mangal"/>
          <w:kern w:val="1"/>
          <w:lang w:eastAsia="zh-CN" w:bidi="hi-IN"/>
        </w:rPr>
        <w:t xml:space="preserve"> </w:t>
      </w:r>
      <w:r w:rsidR="0001294E">
        <w:rPr>
          <w:rFonts w:eastAsia="SimSun" w:cs="Mangal"/>
          <w:kern w:val="1"/>
          <w:lang w:eastAsia="zh-CN" w:bidi="hi-IN"/>
        </w:rPr>
        <w:t>antakse</w:t>
      </w:r>
      <w:r w:rsidR="009D0240">
        <w:rPr>
          <w:rFonts w:eastAsia="SimSun" w:cs="Mangal"/>
          <w:kern w:val="1"/>
          <w:lang w:eastAsia="zh-CN" w:bidi="hi-IN"/>
        </w:rPr>
        <w:t xml:space="preserve"> e</w:t>
      </w:r>
      <w:r w:rsidR="000548C6" w:rsidRPr="000548C6">
        <w:rPr>
          <w:rFonts w:eastAsia="SimSun" w:cs="Mangal"/>
          <w:kern w:val="1"/>
          <w:lang w:eastAsia="zh-CN" w:bidi="hi-IN"/>
        </w:rPr>
        <w:t xml:space="preserve">daspidi </w:t>
      </w:r>
      <w:r w:rsidR="0001294E">
        <w:rPr>
          <w:rFonts w:eastAsia="SimSun" w:cs="Mangal"/>
          <w:kern w:val="1"/>
          <w:lang w:eastAsia="zh-CN" w:bidi="hi-IN"/>
        </w:rPr>
        <w:t xml:space="preserve">toetust </w:t>
      </w:r>
      <w:r w:rsidR="0001294E" w:rsidRPr="000548C6">
        <w:rPr>
          <w:rFonts w:eastAsia="SimSun" w:cs="Mangal"/>
          <w:kern w:val="1"/>
          <w:lang w:eastAsia="zh-CN" w:bidi="hi-IN"/>
        </w:rPr>
        <w:t>kõikidele mikro-</w:t>
      </w:r>
      <w:r w:rsidR="0001294E">
        <w:rPr>
          <w:rFonts w:eastAsia="SimSun" w:cs="Mangal"/>
          <w:kern w:val="1"/>
          <w:lang w:eastAsia="zh-CN" w:bidi="hi-IN"/>
        </w:rPr>
        <w:t xml:space="preserve"> </w:t>
      </w:r>
      <w:r w:rsidR="0001294E" w:rsidRPr="000548C6">
        <w:rPr>
          <w:rFonts w:eastAsia="SimSun" w:cs="Mangal"/>
          <w:kern w:val="1"/>
          <w:lang w:eastAsia="zh-CN" w:bidi="hi-IN"/>
        </w:rPr>
        <w:t>ja väikeettevõtjatele</w:t>
      </w:r>
      <w:r w:rsidR="0001294E">
        <w:rPr>
          <w:rFonts w:eastAsia="SimSun" w:cs="Mangal"/>
          <w:kern w:val="1"/>
          <w:lang w:eastAsia="zh-CN" w:bidi="hi-IN"/>
        </w:rPr>
        <w:t xml:space="preserve"> kuni </w:t>
      </w:r>
      <w:r w:rsidR="003717C2">
        <w:rPr>
          <w:rFonts w:eastAsia="SimSun" w:cs="Mangal"/>
          <w:kern w:val="1"/>
          <w:lang w:eastAsia="zh-CN" w:bidi="hi-IN"/>
        </w:rPr>
        <w:t xml:space="preserve">40% </w:t>
      </w:r>
      <w:r w:rsidR="0001294E" w:rsidRPr="0001294E">
        <w:rPr>
          <w:rFonts w:eastAsia="SimSun" w:cs="Mangal"/>
          <w:kern w:val="1"/>
          <w:lang w:eastAsia="zh-CN" w:bidi="hi-IN"/>
        </w:rPr>
        <w:t>toetatava tegevuse abikõlbliku kulu maksumusest</w:t>
      </w:r>
      <w:r w:rsidR="003717C2">
        <w:rPr>
          <w:rFonts w:eastAsia="SimSun" w:cs="Mangal"/>
          <w:kern w:val="1"/>
          <w:lang w:eastAsia="zh-CN" w:bidi="hi-IN"/>
        </w:rPr>
        <w:t xml:space="preserve">. </w:t>
      </w:r>
      <w:r w:rsidR="000548C6" w:rsidRPr="000548C6">
        <w:rPr>
          <w:rFonts w:eastAsia="SimSun" w:cs="Mangal"/>
          <w:kern w:val="1"/>
          <w:lang w:eastAsia="zh-CN" w:bidi="hi-IN"/>
        </w:rPr>
        <w:t xml:space="preserve">Seega väheneb toetuse määr </w:t>
      </w:r>
      <w:r w:rsidR="000C1269">
        <w:rPr>
          <w:rFonts w:eastAsia="SimSun" w:cs="Mangal"/>
          <w:kern w:val="1"/>
          <w:lang w:eastAsia="zh-CN" w:bidi="hi-IN"/>
        </w:rPr>
        <w:t>5%</w:t>
      </w:r>
      <w:r w:rsidR="000548C6" w:rsidRPr="000548C6">
        <w:rPr>
          <w:rFonts w:eastAsia="SimSun" w:cs="Mangal"/>
          <w:kern w:val="1"/>
          <w:lang w:eastAsia="zh-CN" w:bidi="hi-IN"/>
        </w:rPr>
        <w:t xml:space="preserve"> võrra </w:t>
      </w:r>
      <w:r w:rsidR="00B43F1D">
        <w:rPr>
          <w:rFonts w:eastAsia="SimSun" w:cs="Mangal"/>
          <w:kern w:val="1"/>
          <w:lang w:eastAsia="zh-CN" w:bidi="hi-IN"/>
        </w:rPr>
        <w:t>ka</w:t>
      </w:r>
      <w:r w:rsidR="000548C6" w:rsidRPr="000548C6">
        <w:rPr>
          <w:rFonts w:eastAsia="SimSun" w:cs="Mangal"/>
          <w:kern w:val="1"/>
          <w:lang w:eastAsia="zh-CN" w:bidi="hi-IN"/>
        </w:rPr>
        <w:t xml:space="preserve"> ma</w:t>
      </w:r>
      <w:r w:rsidR="000511D7">
        <w:rPr>
          <w:rFonts w:eastAsia="SimSun" w:cs="Mangal"/>
          <w:kern w:val="1"/>
          <w:lang w:eastAsia="zh-CN" w:bidi="hi-IN"/>
        </w:rPr>
        <w:t>h</w:t>
      </w:r>
      <w:r w:rsidR="000548C6" w:rsidRPr="000548C6">
        <w:rPr>
          <w:rFonts w:eastAsia="SimSun" w:cs="Mangal"/>
          <w:kern w:val="1"/>
          <w:lang w:eastAsia="zh-CN" w:bidi="hi-IN"/>
        </w:rPr>
        <w:t xml:space="preserve">epõllumajanduse valdkonnas tegutsevatel </w:t>
      </w:r>
      <w:r w:rsidR="0001294E" w:rsidRPr="0001294E">
        <w:rPr>
          <w:rFonts w:eastAsia="SimSun" w:cs="Mangal"/>
          <w:kern w:val="1"/>
          <w:lang w:eastAsia="zh-CN" w:bidi="hi-IN"/>
        </w:rPr>
        <w:t>mikro- ja väikeette</w:t>
      </w:r>
      <w:r w:rsidR="000548C6" w:rsidRPr="000548C6">
        <w:rPr>
          <w:rFonts w:eastAsia="SimSun" w:cs="Mangal"/>
          <w:kern w:val="1"/>
          <w:lang w:eastAsia="zh-CN" w:bidi="hi-IN"/>
        </w:rPr>
        <w:t>ettevõtjatel</w:t>
      </w:r>
      <w:r w:rsidR="0001294E">
        <w:rPr>
          <w:rFonts w:eastAsia="SimSun" w:cs="Mangal"/>
          <w:kern w:val="1"/>
          <w:lang w:eastAsia="zh-CN" w:bidi="hi-IN"/>
        </w:rPr>
        <w:t xml:space="preserve">, </w:t>
      </w:r>
      <w:r w:rsidR="000B5034">
        <w:rPr>
          <w:rFonts w:eastAsia="SimSun" w:cs="Mangal"/>
          <w:kern w:val="1"/>
          <w:lang w:eastAsia="zh-CN" w:bidi="hi-IN"/>
        </w:rPr>
        <w:t xml:space="preserve">sest </w:t>
      </w:r>
      <w:r w:rsidR="0001294E">
        <w:rPr>
          <w:rFonts w:eastAsia="SimSun" w:cs="Mangal"/>
          <w:kern w:val="1"/>
          <w:lang w:eastAsia="zh-CN" w:bidi="hi-IN"/>
        </w:rPr>
        <w:t>teiste</w:t>
      </w:r>
      <w:r w:rsidR="000B5034">
        <w:rPr>
          <w:rFonts w:eastAsia="SimSun" w:cs="Mangal"/>
          <w:kern w:val="1"/>
          <w:lang w:eastAsia="zh-CN" w:bidi="hi-IN"/>
        </w:rPr>
        <w:t>l</w:t>
      </w:r>
      <w:r w:rsidR="0001294E">
        <w:rPr>
          <w:rFonts w:eastAsia="SimSun" w:cs="Mangal"/>
          <w:kern w:val="1"/>
          <w:lang w:eastAsia="zh-CN" w:bidi="hi-IN"/>
        </w:rPr>
        <w:t xml:space="preserve"> </w:t>
      </w:r>
      <w:r w:rsidR="00B017F1">
        <w:rPr>
          <w:rFonts w:eastAsia="SimSun" w:cs="Mangal"/>
          <w:kern w:val="1"/>
          <w:lang w:eastAsia="zh-CN" w:bidi="hi-IN"/>
        </w:rPr>
        <w:t>taotlejate</w:t>
      </w:r>
      <w:r w:rsidR="000B5034">
        <w:rPr>
          <w:rFonts w:eastAsia="SimSun" w:cs="Mangal"/>
          <w:kern w:val="1"/>
          <w:lang w:eastAsia="zh-CN" w:bidi="hi-IN"/>
        </w:rPr>
        <w:t xml:space="preserve">l </w:t>
      </w:r>
      <w:r w:rsidR="00B017F1">
        <w:rPr>
          <w:rFonts w:eastAsia="SimSun" w:cs="Mangal"/>
          <w:kern w:val="1"/>
          <w:lang w:eastAsia="zh-CN" w:bidi="hi-IN"/>
        </w:rPr>
        <w:t>on e</w:t>
      </w:r>
      <w:r w:rsidR="000B5034">
        <w:rPr>
          <w:rFonts w:eastAsia="SimSun" w:cs="Mangal"/>
          <w:kern w:val="1"/>
          <w:lang w:eastAsia="zh-CN" w:bidi="hi-IN"/>
        </w:rPr>
        <w:t>ndiselt toetuse maksimaalne määr 40%</w:t>
      </w:r>
      <w:r w:rsidR="003717C2">
        <w:rPr>
          <w:rFonts w:eastAsia="SimSun" w:cs="Mangal"/>
          <w:kern w:val="1"/>
          <w:lang w:eastAsia="zh-CN" w:bidi="hi-IN"/>
        </w:rPr>
        <w:t>.</w:t>
      </w:r>
      <w:r w:rsidR="000C1269">
        <w:t xml:space="preserve"> </w:t>
      </w:r>
    </w:p>
    <w:p w14:paraId="28B8A71B" w14:textId="77777777" w:rsidR="001A4252" w:rsidRDefault="001A4252" w:rsidP="003977F8">
      <w:pPr>
        <w:jc w:val="both"/>
      </w:pPr>
    </w:p>
    <w:p w14:paraId="1F8F46EE" w14:textId="459964B1" w:rsidR="003A57E7" w:rsidRDefault="003977F8" w:rsidP="003977F8">
      <w:pPr>
        <w:jc w:val="both"/>
      </w:pPr>
      <w:r>
        <w:t>Toetuse määra vähendamist on t</w:t>
      </w:r>
      <w:r w:rsidR="004B6FD1">
        <w:t xml:space="preserve">äpsemalt selgitatud eelnõu punkti </w:t>
      </w:r>
      <w:r w:rsidR="003717C2">
        <w:t>3</w:t>
      </w:r>
      <w:r w:rsidR="004B6FD1">
        <w:t xml:space="preserve"> selgitava osa juures.</w:t>
      </w:r>
    </w:p>
    <w:p w14:paraId="3C8694C1" w14:textId="77777777" w:rsidR="003A57E7" w:rsidRDefault="003A57E7" w:rsidP="004356F0">
      <w:pPr>
        <w:jc w:val="both"/>
      </w:pPr>
    </w:p>
    <w:p w14:paraId="1E21666D" w14:textId="77172CE5" w:rsidR="00104E0A" w:rsidRPr="003923F1" w:rsidRDefault="003A57E7" w:rsidP="00847F5C">
      <w:pPr>
        <w:jc w:val="both"/>
      </w:pPr>
      <w:r w:rsidRPr="003A57E7">
        <w:rPr>
          <w:b/>
        </w:rPr>
        <w:t>Eelnõu punktis 5</w:t>
      </w:r>
      <w:r w:rsidRPr="003A57E7">
        <w:t xml:space="preserve"> </w:t>
      </w:r>
      <w:r w:rsidR="003B0812">
        <w:t xml:space="preserve">tehakse muudatus, millega </w:t>
      </w:r>
      <w:r w:rsidRPr="003A57E7">
        <w:t xml:space="preserve">ühtlustatakse füüsilisest isikust ettevõtjate </w:t>
      </w:r>
      <w:r w:rsidR="00A016D2">
        <w:t xml:space="preserve">puhul nende </w:t>
      </w:r>
      <w:r w:rsidRPr="003A57E7">
        <w:t>majandusnäitajate kontrollimise</w:t>
      </w:r>
      <w:r w:rsidR="00585DC7">
        <w:t xml:space="preserve"> aluseks olevad</w:t>
      </w:r>
      <w:r>
        <w:t xml:space="preserve"> </w:t>
      </w:r>
      <w:r w:rsidR="00A016D2">
        <w:t>andmed</w:t>
      </w:r>
      <w:r>
        <w:t xml:space="preserve">. Kui </w:t>
      </w:r>
      <w:r w:rsidR="003B0812">
        <w:t>varem</w:t>
      </w:r>
      <w:r w:rsidRPr="003A57E7">
        <w:t xml:space="preserve"> </w:t>
      </w:r>
      <w:r w:rsidR="00FB28B3">
        <w:t>esitas</w:t>
      </w:r>
      <w:r w:rsidRPr="003A57E7">
        <w:t xml:space="preserve"> </w:t>
      </w:r>
      <w:r w:rsidR="001C43E8" w:rsidRPr="001C43E8">
        <w:t>Põllumajanduse Re</w:t>
      </w:r>
      <w:r w:rsidR="001C43E8">
        <w:t>gistrite ja Informatsiooni Amet (edaspidi</w:t>
      </w:r>
      <w:r w:rsidR="001C43E8" w:rsidRPr="001C43E8">
        <w:t xml:space="preserve"> </w:t>
      </w:r>
      <w:r w:rsidRPr="00DD39C4">
        <w:rPr>
          <w:i/>
        </w:rPr>
        <w:t>PRIA</w:t>
      </w:r>
      <w:r w:rsidR="001C43E8">
        <w:t>)</w:t>
      </w:r>
      <w:r w:rsidRPr="003A57E7">
        <w:t xml:space="preserve"> Maksu- ja Tolliametil</w:t>
      </w:r>
      <w:r w:rsidR="00FB28B3">
        <w:t>e</w:t>
      </w:r>
      <w:r w:rsidRPr="003A57E7">
        <w:t xml:space="preserve"> </w:t>
      </w:r>
      <w:r w:rsidR="00FB28B3" w:rsidRPr="00FB28B3">
        <w:t>toetust taotlenud füüsilisest isikust ettevõtjate nimekirja</w:t>
      </w:r>
      <w:r w:rsidR="00FB28B3">
        <w:t>, et saada</w:t>
      </w:r>
      <w:r w:rsidR="00FB28B3" w:rsidRPr="00FB28B3">
        <w:t xml:space="preserve"> </w:t>
      </w:r>
      <w:r w:rsidRPr="003A57E7">
        <w:t xml:space="preserve">tuludeklaratsiooni vormi E andmeid </w:t>
      </w:r>
      <w:r w:rsidR="000D20F1">
        <w:t>üksnes</w:t>
      </w:r>
      <w:r w:rsidRPr="003A57E7">
        <w:t xml:space="preserve"> nende füüsilisest isikust ettevõtjate kohta, kes p</w:t>
      </w:r>
      <w:r w:rsidR="000D20F1">
        <w:t>idasid</w:t>
      </w:r>
      <w:r w:rsidRPr="003A57E7">
        <w:t xml:space="preserve"> raamatupidamise seaduse kohaselt kassapõhist raamatupidamis</w:t>
      </w:r>
      <w:r w:rsidR="00684FB5">
        <w:t>t</w:t>
      </w:r>
      <w:r w:rsidR="000D20F1">
        <w:t xml:space="preserve"> </w:t>
      </w:r>
      <w:r w:rsidR="00C81474">
        <w:t>ja kes ei olnud</w:t>
      </w:r>
      <w:r w:rsidR="000D20F1" w:rsidRPr="000D20F1">
        <w:t xml:space="preserve"> käibemaksukohustuslased</w:t>
      </w:r>
      <w:r w:rsidRPr="003A57E7">
        <w:t xml:space="preserve">, siis edaspidi küsitakse </w:t>
      </w:r>
      <w:r w:rsidR="00EF4382">
        <w:t xml:space="preserve">tuludeklaratsiooni </w:t>
      </w:r>
      <w:r w:rsidRPr="003A57E7">
        <w:t xml:space="preserve">vormi E andmeid kõigi toetust taotlenud füüsilisest isikust ettevõtjate kohta olenemata </w:t>
      </w:r>
      <w:r w:rsidR="006217E6">
        <w:t xml:space="preserve">sellest, millist </w:t>
      </w:r>
      <w:r w:rsidRPr="003A57E7">
        <w:t>raamatupidamis</w:t>
      </w:r>
      <w:r w:rsidR="00684FB5">
        <w:t>t</w:t>
      </w:r>
      <w:r w:rsidR="006217E6">
        <w:t xml:space="preserve"> taotleja</w:t>
      </w:r>
      <w:r w:rsidR="00684FB5" w:rsidRPr="00684FB5">
        <w:t xml:space="preserve"> </w:t>
      </w:r>
      <w:r w:rsidR="00684FB5">
        <w:t>peab</w:t>
      </w:r>
      <w:r w:rsidRPr="003A57E7">
        <w:t xml:space="preserve">. </w:t>
      </w:r>
      <w:r w:rsidR="00EB6190" w:rsidRPr="005E1E49">
        <w:rPr>
          <w:b/>
        </w:rPr>
        <w:t xml:space="preserve"> </w:t>
      </w:r>
      <w:r w:rsidR="006A7914" w:rsidRPr="003923F1">
        <w:t xml:space="preserve"> </w:t>
      </w:r>
    </w:p>
    <w:p w14:paraId="0029AE86" w14:textId="77777777" w:rsidR="006A7914" w:rsidRPr="003923F1" w:rsidRDefault="006A7914" w:rsidP="004356F0">
      <w:pPr>
        <w:jc w:val="both"/>
      </w:pPr>
    </w:p>
    <w:p w14:paraId="530D876F" w14:textId="0C2923F2" w:rsidR="003E2DC8" w:rsidRPr="003923F1" w:rsidRDefault="00A94F8B" w:rsidP="003E2DC8">
      <w:pPr>
        <w:jc w:val="both"/>
      </w:pPr>
      <w:r w:rsidRPr="003923F1">
        <w:rPr>
          <w:b/>
        </w:rPr>
        <w:t>E</w:t>
      </w:r>
      <w:r w:rsidR="003E2DC8" w:rsidRPr="003923F1">
        <w:rPr>
          <w:b/>
        </w:rPr>
        <w:t>elnõu punkti</w:t>
      </w:r>
      <w:r w:rsidR="008364F7">
        <w:rPr>
          <w:b/>
        </w:rPr>
        <w:t>s</w:t>
      </w:r>
      <w:r w:rsidR="003E2DC8" w:rsidRPr="003923F1">
        <w:rPr>
          <w:b/>
        </w:rPr>
        <w:t xml:space="preserve"> </w:t>
      </w:r>
      <w:r w:rsidR="003C1B71">
        <w:rPr>
          <w:b/>
        </w:rPr>
        <w:t>7</w:t>
      </w:r>
      <w:r w:rsidR="003E2DC8" w:rsidRPr="003923F1">
        <w:rPr>
          <w:b/>
        </w:rPr>
        <w:t xml:space="preserve"> </w:t>
      </w:r>
      <w:r w:rsidR="003E2DC8" w:rsidRPr="003923F1">
        <w:t>kehtestatakse määruse lisa 4 uues sõnastuses.</w:t>
      </w:r>
    </w:p>
    <w:p w14:paraId="753DA180" w14:textId="13E8EF87" w:rsidR="003E2DC8" w:rsidRPr="003923F1" w:rsidRDefault="003E2DC8" w:rsidP="003E2DC8">
      <w:pPr>
        <w:jc w:val="both"/>
      </w:pPr>
      <w:bookmarkStart w:id="0" w:name="_GoBack"/>
      <w:bookmarkEnd w:id="0"/>
    </w:p>
    <w:p w14:paraId="48C83170" w14:textId="1B4CB26A" w:rsidR="002C103B" w:rsidRPr="003923F1" w:rsidRDefault="002C103B" w:rsidP="008364F7">
      <w:pPr>
        <w:jc w:val="both"/>
      </w:pPr>
      <w:r w:rsidRPr="003923F1">
        <w:t>Hindamiskriteeriumis 4 täpsustatakse kriteeriumi</w:t>
      </w:r>
      <w:r w:rsidR="00157F4D">
        <w:t xml:space="preserve"> 4.1</w:t>
      </w:r>
      <w:r w:rsidRPr="003923F1">
        <w:t xml:space="preserve"> sõnastust. Nimetatud kriteeriumi täiendatakse selliselt, e</w:t>
      </w:r>
      <w:r w:rsidR="00577F18" w:rsidRPr="003923F1">
        <w:t>t edaspidi saavad hindepunkte</w:t>
      </w:r>
      <w:r w:rsidRPr="003923F1">
        <w:t xml:space="preserve"> ka </w:t>
      </w:r>
      <w:r w:rsidR="00157F4D">
        <w:t xml:space="preserve">tunnustatud </w:t>
      </w:r>
      <w:r w:rsidRPr="003923F1">
        <w:t>tootjaorganisatsiooni kuuluvad taotlejad.</w:t>
      </w:r>
      <w:r w:rsidR="008364F7">
        <w:t xml:space="preserve"> See tähendab, et hindamiskriteeriumi 4.1 alusel saab </w:t>
      </w:r>
      <w:r w:rsidR="00157F4D">
        <w:t xml:space="preserve">eelnõu kohaselt </w:t>
      </w:r>
      <w:r w:rsidR="008364F7">
        <w:t>edaspidi hindepunkte taotleja, kes kuulub taotluse esitamise ajal tunnustatud tootjaorganisatsiooni</w:t>
      </w:r>
      <w:r w:rsidR="00905706">
        <w:t>,</w:t>
      </w:r>
      <w:r w:rsidR="00157F4D" w:rsidRPr="00157F4D">
        <w:t xml:space="preserve"> </w:t>
      </w:r>
      <w:r w:rsidR="00157F4D">
        <w:t>tunnustatud tootjarühma</w:t>
      </w:r>
      <w:r w:rsidR="00905706">
        <w:t>,</w:t>
      </w:r>
      <w:r w:rsidR="00157F4D">
        <w:t xml:space="preserve"> </w:t>
      </w:r>
      <w:r w:rsidR="008364F7">
        <w:t>põllumajandusühistusse või kvaliteedikava rakendavasse tootjarühma.</w:t>
      </w:r>
    </w:p>
    <w:p w14:paraId="30BA52FA" w14:textId="7685A0EC" w:rsidR="003E2DC8" w:rsidRPr="003923F1" w:rsidRDefault="003E2DC8" w:rsidP="003E2DC8">
      <w:pPr>
        <w:jc w:val="both"/>
      </w:pPr>
    </w:p>
    <w:p w14:paraId="0A93ACD2" w14:textId="07C5C33D" w:rsidR="008331BC" w:rsidRPr="003923F1" w:rsidRDefault="008331BC" w:rsidP="003E2DC8">
      <w:pPr>
        <w:jc w:val="both"/>
      </w:pPr>
      <w:r w:rsidRPr="003923F1">
        <w:t>Hindamiskriteeriumis 8 täpsustatakse</w:t>
      </w:r>
      <w:r w:rsidR="00F309CA">
        <w:t xml:space="preserve"> </w:t>
      </w:r>
      <w:r w:rsidR="00905706">
        <w:t xml:space="preserve">üksnes </w:t>
      </w:r>
      <w:r w:rsidR="00F309CA">
        <w:t xml:space="preserve">toetatava tegevuse kohta </w:t>
      </w:r>
      <w:r w:rsidR="00F309CA" w:rsidRPr="001C4A10">
        <w:t>antava</w:t>
      </w:r>
      <w:r w:rsidR="00F309CA">
        <w:t xml:space="preserve"> toetuse määra vahemikke</w:t>
      </w:r>
      <w:r w:rsidRPr="003923F1">
        <w:t xml:space="preserve">. </w:t>
      </w:r>
      <w:r w:rsidR="00BD5BAE">
        <w:t>V</w:t>
      </w:r>
      <w:r w:rsidRPr="003923F1">
        <w:t xml:space="preserve">arem sai </w:t>
      </w:r>
      <w:r w:rsidR="008A061E" w:rsidRPr="003923F1">
        <w:t>t</w:t>
      </w:r>
      <w:r w:rsidRPr="003923F1">
        <w:t xml:space="preserve">oetatava tegevuse kohta </w:t>
      </w:r>
      <w:r w:rsidR="008A061E" w:rsidRPr="001C4A10">
        <w:t>taotletava</w:t>
      </w:r>
      <w:r w:rsidR="008A061E" w:rsidRPr="003923F1">
        <w:t xml:space="preserve"> toetuse määra eest hindepunkte </w:t>
      </w:r>
      <w:r w:rsidR="008A061E" w:rsidRPr="00E04E58">
        <w:t>järg</w:t>
      </w:r>
      <w:r w:rsidR="00782DAD" w:rsidRPr="00E04E58">
        <w:t>mise</w:t>
      </w:r>
      <w:r w:rsidR="008A061E" w:rsidRPr="00E04E58">
        <w:t>lt</w:t>
      </w:r>
      <w:r w:rsidRPr="00E04E58">
        <w:t>:</w:t>
      </w:r>
    </w:p>
    <w:p w14:paraId="74F3D7FE" w14:textId="5B5C84B4" w:rsidR="008A061E" w:rsidRPr="003923F1" w:rsidRDefault="008A061E" w:rsidP="008A061E">
      <w:pPr>
        <w:pStyle w:val="ListParagraph"/>
        <w:numPr>
          <w:ilvl w:val="0"/>
          <w:numId w:val="1"/>
        </w:numPr>
        <w:jc w:val="both"/>
      </w:pPr>
      <w:r w:rsidRPr="003923F1">
        <w:rPr>
          <w:rFonts w:ascii="Times New Roman" w:hAnsi="Times New Roman"/>
          <w:sz w:val="24"/>
          <w:szCs w:val="24"/>
        </w:rPr>
        <w:t>15–</w:t>
      </w:r>
      <w:r w:rsidR="0045458E" w:rsidRPr="003923F1">
        <w:rPr>
          <w:rFonts w:ascii="Times New Roman" w:hAnsi="Times New Roman"/>
          <w:sz w:val="24"/>
          <w:szCs w:val="24"/>
        </w:rPr>
        <w:t>2</w:t>
      </w:r>
      <w:r w:rsidR="00F309CA">
        <w:rPr>
          <w:rFonts w:ascii="Times New Roman" w:hAnsi="Times New Roman"/>
          <w:sz w:val="24"/>
          <w:szCs w:val="24"/>
        </w:rPr>
        <w:t>9</w:t>
      </w:r>
      <w:r w:rsidRPr="003923F1">
        <w:rPr>
          <w:rFonts w:ascii="Times New Roman" w:hAnsi="Times New Roman"/>
          <w:sz w:val="24"/>
          <w:szCs w:val="24"/>
        </w:rPr>
        <w:t>%</w:t>
      </w:r>
      <w:r w:rsidRPr="003923F1">
        <w:rPr>
          <w:rFonts w:ascii="Times New Roman" w:hAnsi="Times New Roman"/>
          <w:sz w:val="24"/>
          <w:szCs w:val="24"/>
        </w:rPr>
        <w:tab/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4 hindepunkti;</w:t>
      </w:r>
    </w:p>
    <w:p w14:paraId="54C7C0D7" w14:textId="161BA879" w:rsidR="008A061E" w:rsidRPr="003923F1" w:rsidRDefault="008A061E" w:rsidP="008A061E">
      <w:pPr>
        <w:pStyle w:val="ListParagraph"/>
        <w:numPr>
          <w:ilvl w:val="0"/>
          <w:numId w:val="1"/>
        </w:numPr>
        <w:jc w:val="both"/>
      </w:pPr>
      <w:r w:rsidRPr="003923F1">
        <w:rPr>
          <w:rFonts w:ascii="Times New Roman" w:hAnsi="Times New Roman"/>
          <w:sz w:val="24"/>
          <w:szCs w:val="24"/>
        </w:rPr>
        <w:t>üle 29% kuni 34%</w:t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3 hindepunkti;</w:t>
      </w:r>
    </w:p>
    <w:p w14:paraId="75272207" w14:textId="2A851833" w:rsidR="008A061E" w:rsidRPr="003923F1" w:rsidRDefault="008A061E" w:rsidP="008A061E">
      <w:pPr>
        <w:pStyle w:val="ListParagraph"/>
        <w:numPr>
          <w:ilvl w:val="0"/>
          <w:numId w:val="1"/>
        </w:numPr>
        <w:jc w:val="both"/>
      </w:pPr>
      <w:r w:rsidRPr="003923F1">
        <w:rPr>
          <w:rFonts w:ascii="Times New Roman" w:hAnsi="Times New Roman"/>
          <w:sz w:val="24"/>
          <w:szCs w:val="24"/>
        </w:rPr>
        <w:t>üle 34% kuni 39%</w:t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2 hindepunkti;</w:t>
      </w:r>
    </w:p>
    <w:p w14:paraId="6A7C674C" w14:textId="6F4943E6" w:rsidR="008A061E" w:rsidRPr="003923F1" w:rsidRDefault="008A061E" w:rsidP="008A061E">
      <w:pPr>
        <w:pStyle w:val="ListParagraph"/>
        <w:numPr>
          <w:ilvl w:val="0"/>
          <w:numId w:val="1"/>
        </w:numPr>
        <w:jc w:val="both"/>
      </w:pPr>
      <w:r w:rsidRPr="003923F1">
        <w:rPr>
          <w:rFonts w:ascii="Times New Roman" w:hAnsi="Times New Roman"/>
          <w:sz w:val="24"/>
          <w:szCs w:val="24"/>
        </w:rPr>
        <w:t>üle 39% kuni 45%</w:t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1 hindepunkt</w:t>
      </w:r>
      <w:r w:rsidR="00F309CA">
        <w:rPr>
          <w:rFonts w:ascii="Times New Roman" w:hAnsi="Times New Roman"/>
          <w:sz w:val="24"/>
          <w:szCs w:val="24"/>
        </w:rPr>
        <w:t>.</w:t>
      </w:r>
    </w:p>
    <w:p w14:paraId="246947C3" w14:textId="47E05ECC" w:rsidR="008A061E" w:rsidRPr="003923F1" w:rsidRDefault="00782DAD" w:rsidP="008A061E">
      <w:pPr>
        <w:jc w:val="both"/>
      </w:pPr>
      <w:r>
        <w:t xml:space="preserve">Edaspidi saab </w:t>
      </w:r>
      <w:r w:rsidR="008A061E" w:rsidRPr="003923F1">
        <w:t xml:space="preserve">toetatava tegevuse kohta </w:t>
      </w:r>
      <w:r w:rsidR="008A061E" w:rsidRPr="001C4A10">
        <w:t>taotletava</w:t>
      </w:r>
      <w:r w:rsidR="008A061E" w:rsidRPr="003923F1">
        <w:t xml:space="preserve"> toetuse määra eest hindepunkte </w:t>
      </w:r>
      <w:r w:rsidR="008A061E" w:rsidRPr="00E04E58">
        <w:t>järg</w:t>
      </w:r>
      <w:r w:rsidRPr="00E04E58">
        <w:t>mise</w:t>
      </w:r>
      <w:r w:rsidR="008A061E" w:rsidRPr="00E04E58">
        <w:t>lt:</w:t>
      </w:r>
    </w:p>
    <w:p w14:paraId="6825C039" w14:textId="0FB7B1E4" w:rsidR="008A061E" w:rsidRPr="003923F1" w:rsidRDefault="008A061E" w:rsidP="00F309C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23F1">
        <w:rPr>
          <w:rFonts w:ascii="Times New Roman" w:hAnsi="Times New Roman"/>
          <w:sz w:val="24"/>
          <w:szCs w:val="24"/>
        </w:rPr>
        <w:t>15</w:t>
      </w:r>
      <w:r w:rsidR="00F309CA" w:rsidRPr="00F309CA">
        <w:rPr>
          <w:rFonts w:ascii="Times New Roman" w:hAnsi="Times New Roman"/>
          <w:sz w:val="24"/>
          <w:szCs w:val="24"/>
        </w:rPr>
        <w:t>–</w:t>
      </w:r>
      <w:r w:rsidRPr="003923F1">
        <w:rPr>
          <w:rFonts w:ascii="Times New Roman" w:hAnsi="Times New Roman"/>
          <w:sz w:val="24"/>
          <w:szCs w:val="24"/>
        </w:rPr>
        <w:t>24%</w:t>
      </w:r>
      <w:r w:rsidRPr="003923F1">
        <w:rPr>
          <w:rFonts w:ascii="Times New Roman" w:hAnsi="Times New Roman"/>
          <w:sz w:val="24"/>
          <w:szCs w:val="24"/>
        </w:rPr>
        <w:tab/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4 hindepunkti;</w:t>
      </w:r>
    </w:p>
    <w:p w14:paraId="61E78BE2" w14:textId="363CBE60" w:rsidR="008A061E" w:rsidRPr="003923F1" w:rsidRDefault="008A061E" w:rsidP="008A061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23F1">
        <w:rPr>
          <w:rFonts w:ascii="Times New Roman" w:hAnsi="Times New Roman"/>
          <w:sz w:val="24"/>
          <w:szCs w:val="24"/>
        </w:rPr>
        <w:t>üle 24% kuni 29%</w:t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3 hindepunkti;</w:t>
      </w:r>
    </w:p>
    <w:p w14:paraId="4999CBD9" w14:textId="3AC6519D" w:rsidR="008A061E" w:rsidRPr="003923F1" w:rsidRDefault="008A061E" w:rsidP="008A061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23F1">
        <w:rPr>
          <w:rFonts w:ascii="Times New Roman" w:hAnsi="Times New Roman"/>
          <w:sz w:val="24"/>
          <w:szCs w:val="24"/>
        </w:rPr>
        <w:t>üle 29% kuni 34%</w:t>
      </w:r>
      <w:r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Pr="003923F1">
        <w:rPr>
          <w:rFonts w:ascii="Times New Roman" w:hAnsi="Times New Roman"/>
          <w:sz w:val="24"/>
          <w:szCs w:val="24"/>
        </w:rPr>
        <w:tab/>
        <w:t>2 hindepunkti;</w:t>
      </w:r>
    </w:p>
    <w:p w14:paraId="4B26425C" w14:textId="56EECC98" w:rsidR="008A061E" w:rsidRPr="003923F1" w:rsidRDefault="002F07BC" w:rsidP="00AB73D1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23F1">
        <w:rPr>
          <w:rFonts w:ascii="Times New Roman" w:hAnsi="Times New Roman"/>
          <w:sz w:val="24"/>
          <w:szCs w:val="24"/>
        </w:rPr>
        <w:t>üle 34</w:t>
      </w:r>
      <w:r w:rsidR="008A061E" w:rsidRPr="003923F1">
        <w:rPr>
          <w:rFonts w:ascii="Times New Roman" w:hAnsi="Times New Roman"/>
          <w:sz w:val="24"/>
          <w:szCs w:val="24"/>
        </w:rPr>
        <w:t>% kuni 40%</w:t>
      </w:r>
      <w:r w:rsidR="008A061E" w:rsidRPr="003923F1">
        <w:rPr>
          <w:rFonts w:ascii="Times New Roman" w:hAnsi="Times New Roman"/>
          <w:sz w:val="24"/>
          <w:szCs w:val="24"/>
        </w:rPr>
        <w:tab/>
      </w:r>
      <w:r w:rsidR="004D7C33">
        <w:t>–</w:t>
      </w:r>
      <w:r w:rsidR="008A061E" w:rsidRPr="003923F1">
        <w:rPr>
          <w:rFonts w:ascii="Times New Roman" w:hAnsi="Times New Roman"/>
          <w:sz w:val="24"/>
          <w:szCs w:val="24"/>
        </w:rPr>
        <w:tab/>
        <w:t>1 hindepunkt.</w:t>
      </w:r>
    </w:p>
    <w:p w14:paraId="3A98206F" w14:textId="77777777" w:rsidR="008A061E" w:rsidRPr="003923F1" w:rsidRDefault="008A061E" w:rsidP="008A061E">
      <w:pPr>
        <w:jc w:val="both"/>
      </w:pPr>
    </w:p>
    <w:p w14:paraId="688D5D48" w14:textId="0B1CACA6" w:rsidR="008331BC" w:rsidRPr="003923F1" w:rsidRDefault="00992ABE" w:rsidP="003E2DC8">
      <w:pPr>
        <w:jc w:val="both"/>
      </w:pPr>
      <w:r>
        <w:t>Eelnõu kohaselt muudetakse s</w:t>
      </w:r>
      <w:r w:rsidR="00DD39C4">
        <w:t>uurema omafinantseeringuga investeeringute</w:t>
      </w:r>
      <w:r>
        <w:t xml:space="preserve"> puhu</w:t>
      </w:r>
      <w:r w:rsidR="00DD39C4">
        <w:t xml:space="preserve">l </w:t>
      </w:r>
      <w:r>
        <w:t xml:space="preserve">antava </w:t>
      </w:r>
      <w:r w:rsidR="00DD39C4">
        <w:t xml:space="preserve">toetuse määra vahemikke, vähendades neid </w:t>
      </w:r>
      <w:r w:rsidR="004D7C33">
        <w:t>5%</w:t>
      </w:r>
      <w:r w:rsidR="00DD39C4">
        <w:t xml:space="preserve"> võrra.</w:t>
      </w:r>
      <w:r w:rsidR="008A061E" w:rsidRPr="003923F1">
        <w:t xml:space="preserve"> Muudatus tuleneb sellest, et a</w:t>
      </w:r>
      <w:r w:rsidR="00880CF4" w:rsidRPr="003923F1">
        <w:t>lates 2022. a</w:t>
      </w:r>
      <w:r w:rsidR="00706118">
        <w:t xml:space="preserve">astast hakkasid kehtima uued regionaalabi piirmäärad, mille kohaselt </w:t>
      </w:r>
      <w:r w:rsidR="007177BC">
        <w:t xml:space="preserve">on </w:t>
      </w:r>
      <w:r w:rsidR="00706118">
        <w:t xml:space="preserve">toetuse </w:t>
      </w:r>
      <w:r w:rsidR="00700547">
        <w:t xml:space="preserve">maksimaalne </w:t>
      </w:r>
      <w:r w:rsidR="00706118">
        <w:t>mä</w:t>
      </w:r>
      <w:r w:rsidR="004716E6">
        <w:t>är</w:t>
      </w:r>
      <w:r w:rsidR="00880CF4" w:rsidRPr="003923F1">
        <w:t xml:space="preserve"> </w:t>
      </w:r>
      <w:r w:rsidR="008A061E" w:rsidRPr="003923F1">
        <w:t>mikro- ja väikeett</w:t>
      </w:r>
      <w:r w:rsidR="00880CF4" w:rsidRPr="003923F1">
        <w:t>evõtjate</w:t>
      </w:r>
      <w:r w:rsidR="00706118">
        <w:t xml:space="preserve">l </w:t>
      </w:r>
      <w:r w:rsidR="008A061E" w:rsidRPr="003923F1">
        <w:t>40</w:t>
      </w:r>
      <w:r w:rsidR="00706118">
        <w:t>%</w:t>
      </w:r>
      <w:r w:rsidR="008A061E" w:rsidRPr="003923F1">
        <w:t xml:space="preserve"> </w:t>
      </w:r>
      <w:r w:rsidR="00706118">
        <w:t xml:space="preserve">toetatava tegevuse </w:t>
      </w:r>
      <w:r w:rsidR="008A061E" w:rsidRPr="003923F1">
        <w:t>abikõlblik</w:t>
      </w:r>
      <w:r w:rsidR="00700547">
        <w:t>u</w:t>
      </w:r>
      <w:r w:rsidR="008A061E" w:rsidRPr="003923F1">
        <w:t xml:space="preserve"> kulu</w:t>
      </w:r>
      <w:r w:rsidR="001E4022">
        <w:t xml:space="preserve"> maksumusest</w:t>
      </w:r>
      <w:r w:rsidR="008A061E" w:rsidRPr="003923F1">
        <w:t>.</w:t>
      </w:r>
    </w:p>
    <w:p w14:paraId="20ED0407" w14:textId="33E46D98" w:rsidR="008331BC" w:rsidRPr="003923F1" w:rsidRDefault="008331BC" w:rsidP="003E2DC8">
      <w:pPr>
        <w:jc w:val="both"/>
      </w:pPr>
    </w:p>
    <w:p w14:paraId="770E0288" w14:textId="46808242" w:rsidR="003E2DC8" w:rsidRPr="003923F1" w:rsidRDefault="003E2DC8" w:rsidP="003E2DC8">
      <w:pPr>
        <w:jc w:val="both"/>
      </w:pPr>
      <w:r w:rsidRPr="003923F1">
        <w:t xml:space="preserve">Kuna nimetatud hindamiskriteeriumi eesmärk on eelistada neid taotlejaid, kes panustavad investeeringusse </w:t>
      </w:r>
      <w:r w:rsidR="004D7C33">
        <w:t>omavahendeid</w:t>
      </w:r>
      <w:r w:rsidRPr="003923F1">
        <w:t xml:space="preserve"> rohkem, siis </w:t>
      </w:r>
      <w:r w:rsidR="00880CF4" w:rsidRPr="003923F1">
        <w:t xml:space="preserve">jääb </w:t>
      </w:r>
      <w:r w:rsidR="00905706">
        <w:t>edaspidigi</w:t>
      </w:r>
      <w:r w:rsidR="00706118">
        <w:t xml:space="preserve"> </w:t>
      </w:r>
      <w:r w:rsidR="00880CF4" w:rsidRPr="003923F1">
        <w:t xml:space="preserve">kehtima </w:t>
      </w:r>
      <w:r w:rsidRPr="003923F1">
        <w:t xml:space="preserve">toetuse </w:t>
      </w:r>
      <w:r w:rsidR="00700547">
        <w:t>minimaalne</w:t>
      </w:r>
      <w:r w:rsidR="00700547" w:rsidRPr="003923F1">
        <w:t xml:space="preserve"> </w:t>
      </w:r>
      <w:r w:rsidRPr="003923F1">
        <w:t xml:space="preserve">määr 15% ja </w:t>
      </w:r>
      <w:r w:rsidR="00880CF4" w:rsidRPr="003923F1">
        <w:t xml:space="preserve">selle </w:t>
      </w:r>
      <w:r w:rsidRPr="003923F1">
        <w:t xml:space="preserve">eest </w:t>
      </w:r>
      <w:r w:rsidR="00880CF4" w:rsidRPr="003923F1">
        <w:t xml:space="preserve">antakse </w:t>
      </w:r>
      <w:r w:rsidR="00EF4382">
        <w:t>rohkem hindepunkte</w:t>
      </w:r>
      <w:r w:rsidRPr="003923F1">
        <w:t xml:space="preserve">. </w:t>
      </w:r>
      <w:r w:rsidR="00700547">
        <w:t>T</w:t>
      </w:r>
      <w:r w:rsidR="00B573CB">
        <w:t xml:space="preserve">oetuse </w:t>
      </w:r>
      <w:r w:rsidR="00700547">
        <w:t xml:space="preserve">minimaalne </w:t>
      </w:r>
      <w:r w:rsidR="00B573CB">
        <w:t xml:space="preserve">määr 15% on sätestatud eesmärgiga tagada toetuse ergutav mõju. Kui </w:t>
      </w:r>
      <w:r w:rsidR="00907409">
        <w:t xml:space="preserve">toetatava tegevuse </w:t>
      </w:r>
      <w:r w:rsidR="00B573CB">
        <w:t>abikõlblikest kuludest moodustab toetus väga väikese osa ehk alla 15%, siis on toetuse taotlejal tõenäoliselt võimalik teha investeering ka ilma toetuseta.</w:t>
      </w:r>
    </w:p>
    <w:p w14:paraId="2DC606DF" w14:textId="77777777" w:rsidR="00C06F3C" w:rsidRPr="003923F1" w:rsidRDefault="00C06F3C" w:rsidP="004356F0">
      <w:pPr>
        <w:jc w:val="both"/>
      </w:pPr>
    </w:p>
    <w:p w14:paraId="3CEF7E84" w14:textId="77777777" w:rsidR="00A9532A" w:rsidRPr="003923F1" w:rsidRDefault="00A9532A" w:rsidP="004356F0">
      <w:pPr>
        <w:jc w:val="both"/>
        <w:rPr>
          <w:b/>
        </w:rPr>
      </w:pPr>
      <w:r w:rsidRPr="003923F1">
        <w:rPr>
          <w:b/>
        </w:rPr>
        <w:t>3. Eelnõu vastavus Euroopa Liidu õigusele</w:t>
      </w:r>
    </w:p>
    <w:p w14:paraId="4AD56CE3" w14:textId="77777777" w:rsidR="00A9532A" w:rsidRPr="003923F1" w:rsidRDefault="00A9532A" w:rsidP="004356F0">
      <w:pPr>
        <w:jc w:val="both"/>
        <w:rPr>
          <w:b/>
        </w:rPr>
      </w:pPr>
    </w:p>
    <w:p w14:paraId="0A77F55D" w14:textId="7E84816D" w:rsidR="00194E2D" w:rsidRPr="003923F1" w:rsidRDefault="00194E2D" w:rsidP="00194E2D">
      <w:pPr>
        <w:pStyle w:val="Default"/>
        <w:jc w:val="both"/>
      </w:pPr>
      <w:r w:rsidRPr="003923F1">
        <w:t>Eelnõu väljatöötamisel võeti aluseks Euroopa Parlamendi ja nõukogu määrus (EL) nr 1305/2013 Euroopa Maaelu Arengu Põllumajandusfondist (EAFRD) antavate maaelu arengu toetuste kohta ja millega tunnistatakse kehtetuks nõukogu määrus (EÜ) nr 1698/2005 (ELT L 347, 20.12.2013, lk 487–548)</w:t>
      </w:r>
      <w:r w:rsidR="00706118">
        <w:t xml:space="preserve"> </w:t>
      </w:r>
      <w:r w:rsidR="004D7C33">
        <w:t xml:space="preserve">ning </w:t>
      </w:r>
      <w:r w:rsidR="00706118">
        <w:t>komisjoni määrus</w:t>
      </w:r>
      <w:r w:rsidR="00706118" w:rsidRPr="00706118">
        <w:t xml:space="preserve"> (EL) nr 651/2014 ELi aluslepingu artiklite 107 ja 108 kohaldamise kohta, millega teatavat liiki abi tunnistatakse siseturuga kokku</w:t>
      </w:r>
      <w:r w:rsidR="004716E6">
        <w:t xml:space="preserve"> </w:t>
      </w:r>
      <w:r w:rsidR="00706118" w:rsidRPr="00706118">
        <w:t>sobivaks</w:t>
      </w:r>
      <w:r w:rsidR="00706118">
        <w:t xml:space="preserve"> </w:t>
      </w:r>
      <w:r w:rsidR="00706118" w:rsidRPr="00706118">
        <w:t>(ELT L 187</w:t>
      </w:r>
      <w:r w:rsidR="004D7C33">
        <w:t>,</w:t>
      </w:r>
      <w:r w:rsidR="00706118" w:rsidRPr="00706118">
        <w:t xml:space="preserve"> 26.</w:t>
      </w:r>
      <w:r w:rsidR="00E24529">
        <w:t>0</w:t>
      </w:r>
      <w:r w:rsidR="00706118" w:rsidRPr="00706118">
        <w:t>6.2014, lk 1</w:t>
      </w:r>
      <w:r w:rsidR="00E24529" w:rsidRPr="00E24529">
        <w:t>–</w:t>
      </w:r>
      <w:r w:rsidR="00E24529">
        <w:t>7</w:t>
      </w:r>
      <w:r w:rsidR="00706118" w:rsidRPr="00706118">
        <w:t>)</w:t>
      </w:r>
      <w:r w:rsidRPr="003923F1">
        <w:t xml:space="preserve">. </w:t>
      </w:r>
    </w:p>
    <w:p w14:paraId="370C9ECB" w14:textId="77777777" w:rsidR="00194E2D" w:rsidRPr="003923F1" w:rsidRDefault="00194E2D" w:rsidP="00194E2D">
      <w:pPr>
        <w:pStyle w:val="Default"/>
        <w:jc w:val="both"/>
      </w:pPr>
    </w:p>
    <w:p w14:paraId="7A349973" w14:textId="77777777" w:rsidR="00194E2D" w:rsidRPr="003923F1" w:rsidRDefault="00194E2D" w:rsidP="00194E2D">
      <w:pPr>
        <w:jc w:val="both"/>
      </w:pPr>
      <w:r w:rsidRPr="003923F1">
        <w:t xml:space="preserve">Eelnõus nimetatud Euroopa Liidu õigusaktid on kättesaadavad Euroopa Liidu Teataja veebilehel </w:t>
      </w:r>
      <w:hyperlink r:id="rId13" w:history="1">
        <w:r w:rsidRPr="003923F1">
          <w:rPr>
            <w:rStyle w:val="Hyperlink"/>
          </w:rPr>
          <w:t>http://eur-lex.europa.eu</w:t>
        </w:r>
      </w:hyperlink>
      <w:r w:rsidRPr="003923F1">
        <w:t>.</w:t>
      </w:r>
    </w:p>
    <w:p w14:paraId="0FB427C2" w14:textId="05D15D75" w:rsidR="004E2746" w:rsidRPr="003923F1" w:rsidRDefault="004E2746" w:rsidP="004356F0">
      <w:pPr>
        <w:jc w:val="both"/>
      </w:pPr>
    </w:p>
    <w:p w14:paraId="1D904F78" w14:textId="77777777" w:rsidR="00A9532A" w:rsidRPr="003923F1" w:rsidRDefault="00A9532A" w:rsidP="004356F0">
      <w:pPr>
        <w:jc w:val="both"/>
        <w:rPr>
          <w:b/>
        </w:rPr>
      </w:pPr>
      <w:r w:rsidRPr="003923F1">
        <w:rPr>
          <w:b/>
        </w:rPr>
        <w:t>4. Määruse mõjud</w:t>
      </w:r>
    </w:p>
    <w:p w14:paraId="444575C7" w14:textId="77777777" w:rsidR="00A9532A" w:rsidRPr="003923F1" w:rsidRDefault="00A9532A" w:rsidP="004356F0">
      <w:pPr>
        <w:jc w:val="both"/>
        <w:rPr>
          <w:b/>
        </w:rPr>
      </w:pPr>
    </w:p>
    <w:p w14:paraId="375DDB1E" w14:textId="3F329CF6" w:rsidR="001A6755" w:rsidRDefault="001A6755" w:rsidP="00C24F93">
      <w:pPr>
        <w:jc w:val="both"/>
      </w:pPr>
      <w:r>
        <w:t xml:space="preserve">Muudatus, millega </w:t>
      </w:r>
      <w:r w:rsidRPr="001A6755">
        <w:t>võimaldatakse edaspidi toetust taotleda</w:t>
      </w:r>
      <w:r>
        <w:t xml:space="preserve"> ka </w:t>
      </w:r>
      <w:r w:rsidR="00E04E58">
        <w:t>ELTL</w:t>
      </w:r>
      <w:r w:rsidR="008B1F0B">
        <w:t>-i</w:t>
      </w:r>
      <w:r w:rsidR="00E04E58">
        <w:t xml:space="preserve"> </w:t>
      </w:r>
      <w:r w:rsidRPr="001A6755">
        <w:t>I lisaga hõlmatud põllumajandustoodetest I lisaga hõlmatud või I lisaga hõlmamata toodete</w:t>
      </w:r>
      <w:r>
        <w:t xml:space="preserve"> turustamiseks vajaliku seadme ostmiseks või ehitise ehitamiseks, on mikro- ja väikeettevõtjatele positiivne mõju, sest turustamiseks mõeldud </w:t>
      </w:r>
      <w:r w:rsidRPr="001A6755">
        <w:t>uute tehnoloogiate kasutusele võtmine ja uute seadmete ostmine</w:t>
      </w:r>
      <w:r>
        <w:t xml:space="preserve"> toob kaasa turustamisega seotud kulude vähenemise (nt pakkematerjal</w:t>
      </w:r>
      <w:r w:rsidR="009D183D">
        <w:t>i vähenemine</w:t>
      </w:r>
      <w:r>
        <w:t>, energia</w:t>
      </w:r>
      <w:r w:rsidR="00E002EE">
        <w:t xml:space="preserve"> </w:t>
      </w:r>
      <w:r>
        <w:t>sääst</w:t>
      </w:r>
      <w:r w:rsidR="009D183D">
        <w:t>mine</w:t>
      </w:r>
      <w:r w:rsidR="00905706">
        <w:t>,</w:t>
      </w:r>
      <w:r>
        <w:t xml:space="preserve"> tööprotsesside </w:t>
      </w:r>
      <w:r w:rsidR="009D183D">
        <w:t xml:space="preserve">tõhusam </w:t>
      </w:r>
      <w:r>
        <w:t>korraldami</w:t>
      </w:r>
      <w:r w:rsidR="009D183D">
        <w:t>ne</w:t>
      </w:r>
      <w:r>
        <w:t>)</w:t>
      </w:r>
      <w:r w:rsidR="001C43E8">
        <w:t xml:space="preserve"> ning aitab kaasa ka </w:t>
      </w:r>
      <w:r w:rsidR="001C43E8" w:rsidRPr="001C43E8">
        <w:t>keskkonnapoliitika eesmärkide saavut</w:t>
      </w:r>
      <w:r w:rsidR="001C43E8">
        <w:t>amisele</w:t>
      </w:r>
      <w:r>
        <w:t xml:space="preserve">. </w:t>
      </w:r>
    </w:p>
    <w:p w14:paraId="059733FA" w14:textId="119AC4A6" w:rsidR="001A6755" w:rsidRDefault="001A6755" w:rsidP="00C24F93">
      <w:pPr>
        <w:jc w:val="both"/>
      </w:pPr>
    </w:p>
    <w:p w14:paraId="12FA1809" w14:textId="14E3EC45" w:rsidR="00DA2B80" w:rsidRDefault="001A6755" w:rsidP="00C47A41">
      <w:pPr>
        <w:jc w:val="both"/>
        <w:rPr>
          <w:rFonts w:eastAsia="SimSun" w:cs="Mangal"/>
          <w:kern w:val="1"/>
          <w:lang w:eastAsia="zh-CN" w:bidi="hi-IN"/>
        </w:rPr>
      </w:pPr>
      <w:r>
        <w:t xml:space="preserve">Muudatus, millega vähendatakse toetuse </w:t>
      </w:r>
      <w:r w:rsidR="00116FBD">
        <w:t xml:space="preserve">maksimaalset </w:t>
      </w:r>
      <w:r>
        <w:t>määra regionaalabi piirmäärade muut</w:t>
      </w:r>
      <w:r w:rsidR="00FC3829">
        <w:t>u</w:t>
      </w:r>
      <w:r>
        <w:t>mise</w:t>
      </w:r>
      <w:r w:rsidR="00684FB5">
        <w:t xml:space="preserve"> tõttu</w:t>
      </w:r>
      <w:r>
        <w:t>, võib kaas</w:t>
      </w:r>
      <w:r w:rsidR="00915C4F">
        <w:t>a tuua</w:t>
      </w:r>
      <w:r>
        <w:t xml:space="preserve"> mikro- ja väikeettevõtjatele </w:t>
      </w:r>
      <w:r w:rsidRPr="008760C9">
        <w:t>mõninga</w:t>
      </w:r>
      <w:r w:rsidR="00F1343B" w:rsidRPr="008760C9">
        <w:t>se</w:t>
      </w:r>
      <w:r>
        <w:t xml:space="preserve"> negatiiv</w:t>
      </w:r>
      <w:r w:rsidR="00F1343B">
        <w:t>se</w:t>
      </w:r>
      <w:r>
        <w:t xml:space="preserve"> mõju. </w:t>
      </w:r>
      <w:r w:rsidR="001138B3">
        <w:t xml:space="preserve">Nimelt </w:t>
      </w:r>
      <w:r>
        <w:t xml:space="preserve">võib </w:t>
      </w:r>
      <w:r w:rsidR="001138B3">
        <w:t xml:space="preserve">see </w:t>
      </w:r>
      <w:r>
        <w:t>vähenda</w:t>
      </w:r>
      <w:r w:rsidR="00E0007D">
        <w:t>da</w:t>
      </w:r>
      <w:r>
        <w:t xml:space="preserve"> </w:t>
      </w:r>
      <w:r w:rsidR="00D24DAA">
        <w:t xml:space="preserve">toetuse </w:t>
      </w:r>
      <w:r w:rsidR="001138B3">
        <w:t>taotlus</w:t>
      </w:r>
      <w:r w:rsidR="00C47A41">
        <w:t>t</w:t>
      </w:r>
      <w:r w:rsidR="001138B3">
        <w:t>e esitamist</w:t>
      </w:r>
      <w:r w:rsidR="00E0007D">
        <w:t xml:space="preserve"> </w:t>
      </w:r>
      <w:r w:rsidR="00D24DAA">
        <w:t xml:space="preserve">nende </w:t>
      </w:r>
      <w:r>
        <w:t>ettevõtjate</w:t>
      </w:r>
      <w:r w:rsidR="00EF4382">
        <w:t xml:space="preserve"> poolt</w:t>
      </w:r>
      <w:r w:rsidR="00D24DAA">
        <w:t xml:space="preserve">, kes </w:t>
      </w:r>
      <w:r w:rsidR="001138B3">
        <w:t>tegutse</w:t>
      </w:r>
      <w:r w:rsidR="00D24DAA">
        <w:t>vad mahe</w:t>
      </w:r>
      <w:r w:rsidR="001138B3" w:rsidRPr="001138B3">
        <w:rPr>
          <w:rFonts w:eastAsia="SimSun" w:cs="Mangal"/>
          <w:kern w:val="1"/>
          <w:lang w:eastAsia="zh-CN" w:bidi="hi-IN"/>
        </w:rPr>
        <w:t>põllumajanduse valdkonnas</w:t>
      </w:r>
      <w:r w:rsidR="00D24DAA">
        <w:t>,</w:t>
      </w:r>
      <w:r>
        <w:t xml:space="preserve"> sest </w:t>
      </w:r>
      <w:r w:rsidR="00C47A41">
        <w:t xml:space="preserve">neil on edaspidi toetuse maksimaalne määr </w:t>
      </w:r>
      <w:r w:rsidR="004D7C33">
        <w:t>5%</w:t>
      </w:r>
      <w:r w:rsidR="001138B3" w:rsidRPr="001138B3">
        <w:t xml:space="preserve"> võrra väiksem</w:t>
      </w:r>
      <w:r>
        <w:t>.</w:t>
      </w:r>
      <w:r w:rsidR="00B573CB">
        <w:rPr>
          <w:rFonts w:eastAsia="SimSun" w:cs="Mangal"/>
          <w:kern w:val="1"/>
          <w:lang w:eastAsia="zh-CN" w:bidi="hi-IN"/>
        </w:rPr>
        <w:t xml:space="preserve"> </w:t>
      </w:r>
      <w:r w:rsidR="00C47A41">
        <w:rPr>
          <w:rFonts w:eastAsia="SimSun" w:cs="Mangal"/>
          <w:kern w:val="1"/>
          <w:lang w:eastAsia="zh-CN" w:bidi="hi-IN"/>
        </w:rPr>
        <w:t>Samas, kuna t</w:t>
      </w:r>
      <w:r w:rsidR="00AC2203" w:rsidRPr="000548C6">
        <w:rPr>
          <w:rFonts w:eastAsia="SimSun" w:cs="Mangal"/>
          <w:kern w:val="1"/>
          <w:lang w:eastAsia="zh-CN" w:bidi="hi-IN"/>
        </w:rPr>
        <w:t xml:space="preserve">oetuse määra vähendamine puudutab väheseid </w:t>
      </w:r>
      <w:r w:rsidR="00AC2203">
        <w:rPr>
          <w:rFonts w:eastAsia="SimSun" w:cs="Mangal"/>
          <w:kern w:val="1"/>
          <w:lang w:eastAsia="zh-CN" w:bidi="hi-IN"/>
        </w:rPr>
        <w:t xml:space="preserve">mikro- ja väikeettevõtjaid, </w:t>
      </w:r>
      <w:r w:rsidR="004D7C33">
        <w:rPr>
          <w:rFonts w:eastAsia="SimSun" w:cs="Mangal"/>
          <w:kern w:val="1"/>
          <w:lang w:eastAsia="zh-CN" w:bidi="hi-IN"/>
        </w:rPr>
        <w:t xml:space="preserve">sest </w:t>
      </w:r>
      <w:r w:rsidR="00AC2203">
        <w:rPr>
          <w:rFonts w:eastAsia="SimSun" w:cs="Mangal"/>
          <w:kern w:val="1"/>
          <w:lang w:eastAsia="zh-CN" w:bidi="hi-IN"/>
        </w:rPr>
        <w:t xml:space="preserve">lubatud toetuse </w:t>
      </w:r>
      <w:r w:rsidR="00C47A41" w:rsidRPr="000548C6">
        <w:rPr>
          <w:rFonts w:eastAsia="SimSun" w:cs="Mangal"/>
          <w:kern w:val="1"/>
          <w:lang w:eastAsia="zh-CN" w:bidi="hi-IN"/>
        </w:rPr>
        <w:t>maks</w:t>
      </w:r>
      <w:r w:rsidR="00C47A41">
        <w:rPr>
          <w:rFonts w:eastAsia="SimSun" w:cs="Mangal"/>
          <w:kern w:val="1"/>
          <w:lang w:eastAsia="zh-CN" w:bidi="hi-IN"/>
        </w:rPr>
        <w:t xml:space="preserve">imaalset </w:t>
      </w:r>
      <w:r w:rsidR="00AC2203">
        <w:rPr>
          <w:rFonts w:eastAsia="SimSun" w:cs="Mangal"/>
          <w:kern w:val="1"/>
          <w:lang w:eastAsia="zh-CN" w:bidi="hi-IN"/>
        </w:rPr>
        <w:t>määra 45%</w:t>
      </w:r>
      <w:r w:rsidR="00AC2203" w:rsidRPr="000548C6">
        <w:rPr>
          <w:rFonts w:eastAsia="SimSun" w:cs="Mangal"/>
          <w:kern w:val="1"/>
          <w:lang w:eastAsia="zh-CN" w:bidi="hi-IN"/>
        </w:rPr>
        <w:t xml:space="preserve"> </w:t>
      </w:r>
      <w:r w:rsidR="00C47A41">
        <w:rPr>
          <w:rFonts w:eastAsia="SimSun" w:cs="Mangal"/>
          <w:kern w:val="1"/>
          <w:lang w:eastAsia="zh-CN" w:bidi="hi-IN"/>
        </w:rPr>
        <w:t>kohalda</w:t>
      </w:r>
      <w:r w:rsidR="00AC2203" w:rsidRPr="000548C6">
        <w:rPr>
          <w:rFonts w:eastAsia="SimSun" w:cs="Mangal"/>
          <w:kern w:val="1"/>
          <w:lang w:eastAsia="zh-CN" w:bidi="hi-IN"/>
        </w:rPr>
        <w:t>ti üksnes nende ettevõtjate puhul, ke</w:t>
      </w:r>
      <w:r w:rsidR="00AD6622">
        <w:rPr>
          <w:rFonts w:eastAsia="SimSun" w:cs="Mangal"/>
          <w:kern w:val="1"/>
          <w:lang w:eastAsia="zh-CN" w:bidi="hi-IN"/>
        </w:rPr>
        <w:t>lle ettevõtted</w:t>
      </w:r>
      <w:r w:rsidR="00AC2203" w:rsidRPr="000548C6">
        <w:rPr>
          <w:rFonts w:eastAsia="SimSun" w:cs="Mangal"/>
          <w:kern w:val="1"/>
          <w:lang w:eastAsia="zh-CN" w:bidi="hi-IN"/>
        </w:rPr>
        <w:t xml:space="preserve"> olid tunnustatud mahepõllumajanduse valdkonnas</w:t>
      </w:r>
      <w:r w:rsidR="005634D8">
        <w:rPr>
          <w:rFonts w:eastAsia="SimSun" w:cs="Mangal"/>
          <w:kern w:val="1"/>
          <w:lang w:eastAsia="zh-CN" w:bidi="hi-IN"/>
        </w:rPr>
        <w:t>,</w:t>
      </w:r>
      <w:r w:rsidR="00C47A41" w:rsidRPr="00C47A41">
        <w:t xml:space="preserve"> </w:t>
      </w:r>
      <w:r w:rsidR="00C47A41" w:rsidRPr="00C47A41">
        <w:rPr>
          <w:rFonts w:eastAsia="SimSun" w:cs="Mangal"/>
          <w:kern w:val="1"/>
          <w:lang w:eastAsia="zh-CN" w:bidi="hi-IN"/>
        </w:rPr>
        <w:t>siis</w:t>
      </w:r>
      <w:r w:rsidR="00C47A41">
        <w:rPr>
          <w:rFonts w:eastAsia="SimSun" w:cs="Mangal"/>
          <w:kern w:val="1"/>
          <w:lang w:eastAsia="zh-CN" w:bidi="hi-IN"/>
        </w:rPr>
        <w:t xml:space="preserve"> </w:t>
      </w:r>
      <w:r w:rsidR="00C47A41" w:rsidRPr="00C47A41">
        <w:rPr>
          <w:rFonts w:eastAsia="SimSun" w:cs="Mangal"/>
          <w:kern w:val="1"/>
          <w:lang w:eastAsia="zh-CN" w:bidi="hi-IN"/>
        </w:rPr>
        <w:t>võib hinnata muudatuse mõju pigem vähemoluliseks</w:t>
      </w:r>
      <w:r w:rsidR="00B573CB">
        <w:rPr>
          <w:rFonts w:eastAsia="SimSun" w:cs="Mangal"/>
          <w:kern w:val="1"/>
          <w:lang w:eastAsia="zh-CN" w:bidi="hi-IN"/>
        </w:rPr>
        <w:t>.</w:t>
      </w:r>
    </w:p>
    <w:p w14:paraId="0380FABE" w14:textId="77777777" w:rsidR="00B573CB" w:rsidRPr="003923F1" w:rsidRDefault="00B573CB" w:rsidP="00C24F93">
      <w:pPr>
        <w:jc w:val="both"/>
      </w:pPr>
    </w:p>
    <w:p w14:paraId="27E593B0" w14:textId="49966DC8" w:rsidR="00AD1E91" w:rsidRDefault="00DA2B80" w:rsidP="004B3D0E">
      <w:pPr>
        <w:jc w:val="both"/>
      </w:pPr>
      <w:r w:rsidRPr="003923F1">
        <w:t xml:space="preserve">Tehtavate muudatustega </w:t>
      </w:r>
      <w:r w:rsidR="002A77C8" w:rsidRPr="003923F1">
        <w:t xml:space="preserve">ei suurene </w:t>
      </w:r>
      <w:r w:rsidRPr="003923F1">
        <w:t>taotleja ega toetuse saaja halduskoormus</w:t>
      </w:r>
      <w:r w:rsidR="002B3B53">
        <w:t>, samuti ei kasva PRIA töökoormus</w:t>
      </w:r>
      <w:r w:rsidR="00D24DAA">
        <w:t>.</w:t>
      </w:r>
    </w:p>
    <w:p w14:paraId="2AFE705E" w14:textId="77777777" w:rsidR="001C4A10" w:rsidRDefault="001C4A10" w:rsidP="004B3D0E">
      <w:pPr>
        <w:jc w:val="both"/>
      </w:pPr>
    </w:p>
    <w:p w14:paraId="1222A246" w14:textId="62269C1C" w:rsidR="00D24DAA" w:rsidRDefault="00D24DAA" w:rsidP="004B3D0E">
      <w:pPr>
        <w:jc w:val="both"/>
      </w:pPr>
      <w:r w:rsidRPr="00D24DAA">
        <w:t xml:space="preserve">Muudatus on vajalik </w:t>
      </w:r>
      <w:r w:rsidR="002B3B53">
        <w:t>ja</w:t>
      </w:r>
      <w:r w:rsidRPr="00D24DAA">
        <w:t xml:space="preserve"> aitab saavutada toetuse andmisega soovitud eesmärki.</w:t>
      </w:r>
    </w:p>
    <w:p w14:paraId="5C01F8BC" w14:textId="77777777" w:rsidR="00D24DAA" w:rsidRPr="003923F1" w:rsidRDefault="00D24DAA" w:rsidP="004B3D0E">
      <w:pPr>
        <w:jc w:val="both"/>
      </w:pPr>
    </w:p>
    <w:p w14:paraId="70629B47" w14:textId="77777777" w:rsidR="00F03158" w:rsidRPr="003923F1" w:rsidRDefault="00F03158" w:rsidP="004356F0">
      <w:pPr>
        <w:jc w:val="both"/>
        <w:rPr>
          <w:b/>
        </w:rPr>
      </w:pPr>
      <w:r w:rsidRPr="003923F1">
        <w:rPr>
          <w:b/>
        </w:rPr>
        <w:t>5. Määruse rakendamisega seotud tegevused, vajalikud kulud ja määruse rakendamise eeldatavad tulud</w:t>
      </w:r>
    </w:p>
    <w:p w14:paraId="11EBDF84" w14:textId="77777777" w:rsidR="00F03158" w:rsidRPr="003923F1" w:rsidRDefault="00F03158" w:rsidP="004356F0">
      <w:pPr>
        <w:jc w:val="both"/>
        <w:rPr>
          <w:b/>
        </w:rPr>
      </w:pPr>
    </w:p>
    <w:p w14:paraId="20EA9403" w14:textId="55D12488" w:rsidR="00F03158" w:rsidRPr="003923F1" w:rsidRDefault="00F03158" w:rsidP="004356F0">
      <w:pPr>
        <w:jc w:val="both"/>
      </w:pPr>
      <w:r w:rsidRPr="003923F1">
        <w:t>Määruse rakendamisega ei kaasne</w:t>
      </w:r>
      <w:r w:rsidR="00632FAF" w:rsidRPr="003923F1">
        <w:t xml:space="preserve"> lisakulusid</w:t>
      </w:r>
      <w:r w:rsidR="002938FA" w:rsidRPr="003923F1">
        <w:t xml:space="preserve"> ega -tulusid</w:t>
      </w:r>
      <w:r w:rsidRPr="003923F1">
        <w:t>.</w:t>
      </w:r>
    </w:p>
    <w:p w14:paraId="623CEE63" w14:textId="77777777" w:rsidR="00F03158" w:rsidRPr="003923F1" w:rsidRDefault="00F03158" w:rsidP="004356F0">
      <w:pPr>
        <w:jc w:val="both"/>
      </w:pPr>
    </w:p>
    <w:p w14:paraId="569227C0" w14:textId="77777777" w:rsidR="00F03158" w:rsidRPr="003923F1" w:rsidRDefault="00F03158" w:rsidP="004356F0">
      <w:pPr>
        <w:jc w:val="both"/>
        <w:rPr>
          <w:b/>
        </w:rPr>
      </w:pPr>
      <w:r w:rsidRPr="003923F1">
        <w:rPr>
          <w:b/>
        </w:rPr>
        <w:lastRenderedPageBreak/>
        <w:t>6. Määruse jõustumine</w:t>
      </w:r>
    </w:p>
    <w:p w14:paraId="400BDE25" w14:textId="77777777" w:rsidR="00F03158" w:rsidRPr="003923F1" w:rsidRDefault="00F03158" w:rsidP="004356F0">
      <w:pPr>
        <w:jc w:val="both"/>
      </w:pPr>
    </w:p>
    <w:p w14:paraId="225612C7" w14:textId="77777777" w:rsidR="00F03158" w:rsidRPr="003923F1" w:rsidRDefault="007962FF" w:rsidP="004356F0">
      <w:pPr>
        <w:jc w:val="both"/>
      </w:pPr>
      <w:r w:rsidRPr="003923F1">
        <w:t>Määrus jõustub üldises korras.</w:t>
      </w:r>
    </w:p>
    <w:p w14:paraId="5B1B0DE5" w14:textId="77777777" w:rsidR="00F03158" w:rsidRPr="003923F1" w:rsidRDefault="00F03158" w:rsidP="004356F0">
      <w:pPr>
        <w:jc w:val="both"/>
      </w:pPr>
    </w:p>
    <w:p w14:paraId="37F0ED79" w14:textId="77777777" w:rsidR="00F03158" w:rsidRPr="003923F1" w:rsidRDefault="00F03158" w:rsidP="004356F0">
      <w:pPr>
        <w:jc w:val="both"/>
        <w:rPr>
          <w:b/>
        </w:rPr>
      </w:pPr>
      <w:r w:rsidRPr="003923F1">
        <w:rPr>
          <w:b/>
        </w:rPr>
        <w:t>7. Eelnõu kooskõlastamine, huvirühmade kaasamine ja avalik konsultatsioon</w:t>
      </w:r>
    </w:p>
    <w:p w14:paraId="30D30849" w14:textId="77777777" w:rsidR="00F03158" w:rsidRPr="003923F1" w:rsidRDefault="00F03158" w:rsidP="004356F0">
      <w:pPr>
        <w:jc w:val="both"/>
        <w:rPr>
          <w:b/>
        </w:rPr>
      </w:pPr>
    </w:p>
    <w:p w14:paraId="53A2ADA1" w14:textId="01769673" w:rsidR="00652EEB" w:rsidRPr="003923F1" w:rsidRDefault="00652EEB" w:rsidP="00652EEB">
      <w:pPr>
        <w:jc w:val="both"/>
      </w:pPr>
      <w:r w:rsidRPr="003923F1">
        <w:t>Eelnõu esitat</w:t>
      </w:r>
      <w:r w:rsidR="00116FBD">
        <w:t>akse</w:t>
      </w:r>
      <w:r w:rsidRPr="003923F1">
        <w:t xml:space="preserve"> eelnõude infosüsteemi EIS kaudu kooskõlastamiseks Rahandusministeeriumile ning Majandus- ja Kommunikatsiooniministeeriumile.</w:t>
      </w:r>
    </w:p>
    <w:p w14:paraId="571E5161" w14:textId="77777777" w:rsidR="00652EEB" w:rsidRPr="003923F1" w:rsidRDefault="00652EEB" w:rsidP="00652EEB">
      <w:pPr>
        <w:jc w:val="both"/>
      </w:pPr>
    </w:p>
    <w:p w14:paraId="50A1A069" w14:textId="3546917D" w:rsidR="00652EEB" w:rsidRPr="003923F1" w:rsidRDefault="002C1356" w:rsidP="00652EEB">
      <w:pPr>
        <w:jc w:val="both"/>
      </w:pPr>
      <w:r w:rsidRPr="002C1356">
        <w:t xml:space="preserve">Eelnõu esitatakse arvamuse andmiseks </w:t>
      </w:r>
      <w:proofErr w:type="spellStart"/>
      <w:r w:rsidRPr="002C1356">
        <w:t>PRIA-le</w:t>
      </w:r>
      <w:proofErr w:type="spellEnd"/>
      <w:r w:rsidRPr="002C1356">
        <w:t>.</w:t>
      </w:r>
    </w:p>
    <w:p w14:paraId="4F59AE4B" w14:textId="77777777" w:rsidR="00652EEB" w:rsidRPr="003923F1" w:rsidRDefault="00652EEB" w:rsidP="00652EEB">
      <w:pPr>
        <w:jc w:val="both"/>
      </w:pPr>
    </w:p>
    <w:p w14:paraId="5435A834" w14:textId="77777777" w:rsidR="00652EEB" w:rsidRDefault="00652EEB" w:rsidP="004B3D0E">
      <w:pPr>
        <w:jc w:val="both"/>
      </w:pPr>
    </w:p>
    <w:sectPr w:rsidR="00652EEB" w:rsidSect="004D33AE">
      <w:footerReference w:type="default" r:id="rId14"/>
      <w:pgSz w:w="11906" w:h="16838"/>
      <w:pgMar w:top="568" w:right="849" w:bottom="993" w:left="1800" w:header="708" w:footer="708" w:gutter="0"/>
      <w:paperSrc w:first="15" w:other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E734" w16cex:dateUtc="2020-10-09T10:42:00Z"/>
  <w16cex:commentExtensible w16cex:durableId="232AF7C0" w16cex:dateUtc="2020-10-09T11:52:00Z"/>
  <w16cex:commentExtensible w16cex:durableId="232A0F36" w16cex:dateUtc="2020-10-08T19:20:00Z"/>
  <w16cex:commentExtensible w16cex:durableId="232AE971" w16cex:dateUtc="2020-10-09T10:51:00Z"/>
  <w16cex:commentExtensible w16cex:durableId="232AF700" w16cex:dateUtc="2020-10-09T11:49:00Z"/>
  <w16cex:commentExtensible w16cex:durableId="232A106F" w16cex:dateUtc="2020-10-08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57DB74" w16cid:durableId="23288F77"/>
  <w16cid:commentId w16cid:paraId="2A580EE3" w16cid:durableId="232AE734"/>
  <w16cid:commentId w16cid:paraId="3A290A3F" w16cid:durableId="23288F78"/>
  <w16cid:commentId w16cid:paraId="6C521966" w16cid:durableId="232AF7C0"/>
  <w16cid:commentId w16cid:paraId="365CBCAE" w16cid:durableId="23288F79"/>
  <w16cid:commentId w16cid:paraId="15D3A8E4" w16cid:durableId="23288F7A"/>
  <w16cid:commentId w16cid:paraId="59FB0802" w16cid:durableId="23288F7B"/>
  <w16cid:commentId w16cid:paraId="4FAEE03F" w16cid:durableId="232A0F36"/>
  <w16cid:commentId w16cid:paraId="2155E4D3" w16cid:durableId="232AE971"/>
  <w16cid:commentId w16cid:paraId="449C3A50" w16cid:durableId="232AF700"/>
  <w16cid:commentId w16cid:paraId="07141349" w16cid:durableId="23288F7C"/>
  <w16cid:commentId w16cid:paraId="18354807" w16cid:durableId="23288F7D"/>
  <w16cid:commentId w16cid:paraId="0C62B5C2" w16cid:durableId="232A10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94FF" w14:textId="77777777" w:rsidR="003601E6" w:rsidRDefault="003601E6" w:rsidP="003D42EE">
      <w:r>
        <w:separator/>
      </w:r>
    </w:p>
  </w:endnote>
  <w:endnote w:type="continuationSeparator" w:id="0">
    <w:p w14:paraId="076955FA" w14:textId="77777777" w:rsidR="003601E6" w:rsidRDefault="003601E6" w:rsidP="003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765731"/>
      <w:docPartObj>
        <w:docPartGallery w:val="Page Numbers (Bottom of Page)"/>
        <w:docPartUnique/>
      </w:docPartObj>
    </w:sdtPr>
    <w:sdtEndPr/>
    <w:sdtContent>
      <w:p w14:paraId="18CE2965" w14:textId="36C14278" w:rsidR="0074668F" w:rsidRDefault="007466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6A7">
          <w:rPr>
            <w:noProof/>
          </w:rPr>
          <w:t>5</w:t>
        </w:r>
        <w:r>
          <w:fldChar w:fldCharType="end"/>
        </w:r>
      </w:p>
    </w:sdtContent>
  </w:sdt>
  <w:p w14:paraId="44F55DFF" w14:textId="77777777" w:rsidR="0074668F" w:rsidRDefault="00746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679F" w14:textId="77777777" w:rsidR="003601E6" w:rsidRDefault="003601E6" w:rsidP="003D42EE">
      <w:r>
        <w:separator/>
      </w:r>
    </w:p>
  </w:footnote>
  <w:footnote w:type="continuationSeparator" w:id="0">
    <w:p w14:paraId="49C35B69" w14:textId="77777777" w:rsidR="003601E6" w:rsidRDefault="003601E6" w:rsidP="003D42EE">
      <w:r>
        <w:continuationSeparator/>
      </w:r>
    </w:p>
  </w:footnote>
  <w:footnote w:id="1">
    <w:p w14:paraId="56A801D2" w14:textId="0E968877" w:rsidR="0074668F" w:rsidRDefault="0074668F" w:rsidP="005549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E0BE1">
        <w:t>Euroopa Parlamendi ja nõukogu määrus (EL) nr 1305/2013 Euroopa Maaelu Arengu Põllumajandusfondist (EAFRD) antavate maaelu arengu toetuste kohta ja millega tunnistatakse kehtetuks nõukogu määrus (EÜ) nr</w:t>
      </w:r>
      <w:r w:rsidR="00532EE1">
        <w:t> </w:t>
      </w:r>
      <w:r w:rsidRPr="00EE0BE1">
        <w:t>1698/2005 (ELT L 347, 20.12.2013, lk 487–548).</w:t>
      </w:r>
    </w:p>
  </w:footnote>
  <w:footnote w:id="2">
    <w:p w14:paraId="13ADA962" w14:textId="06A8E6C2" w:rsidR="0074668F" w:rsidRDefault="0074668F" w:rsidP="005549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</w:t>
      </w:r>
      <w:r w:rsidRPr="00706118">
        <w:t>omisjoni määrus (EL) nr 651/2014 ELi aluslepingu artiklite 107 ja 108 kohaldamise kohta, millega teatavat liiki abi tunnistatakse siseturuga kokku</w:t>
      </w:r>
      <w:r>
        <w:t xml:space="preserve"> </w:t>
      </w:r>
      <w:r w:rsidRPr="00706118">
        <w:t>sobivaks (ELT L 187</w:t>
      </w:r>
      <w:r w:rsidR="00532EE1">
        <w:t>,</w:t>
      </w:r>
      <w:r w:rsidRPr="00706118">
        <w:t xml:space="preserve"> 26.</w:t>
      </w:r>
      <w:r>
        <w:t>0</w:t>
      </w:r>
      <w:r w:rsidRPr="00706118">
        <w:t>6.2014, lk 1</w:t>
      </w:r>
      <w:r w:rsidRPr="007C0D78">
        <w:t>–</w:t>
      </w:r>
      <w:r>
        <w:t>7</w:t>
      </w:r>
      <w:r w:rsidRPr="00706118">
        <w:t>)</w:t>
      </w:r>
      <w:r>
        <w:t>.</w:t>
      </w:r>
    </w:p>
  </w:footnote>
  <w:footnote w:id="3">
    <w:p w14:paraId="0CEF4BE2" w14:textId="65E2B73F" w:rsidR="0074668F" w:rsidRDefault="0074668F" w:rsidP="001E72A0">
      <w:pPr>
        <w:pStyle w:val="FootnoteText"/>
        <w:jc w:val="both"/>
      </w:pPr>
      <w:r>
        <w:rPr>
          <w:rStyle w:val="FootnoteReference"/>
        </w:rPr>
        <w:footnoteRef/>
      </w:r>
      <w:r w:rsidR="006631CA">
        <w:t xml:space="preserve"> Euroopa </w:t>
      </w:r>
      <w:r w:rsidRPr="003D5A53">
        <w:t>Komisjoni teatis „Regionaalabi suunised“ (ELT C 153, 29.04.2021, lk 1</w:t>
      </w:r>
      <w:r w:rsidR="006631CA" w:rsidRPr="006631CA">
        <w:t>–</w:t>
      </w:r>
      <w:r w:rsidRPr="003D5A53">
        <w:t>46).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418A"/>
    <w:multiLevelType w:val="hybridMultilevel"/>
    <w:tmpl w:val="F9F6EB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C4142"/>
    <w:multiLevelType w:val="hybridMultilevel"/>
    <w:tmpl w:val="94748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B3"/>
    <w:rsid w:val="00002AAF"/>
    <w:rsid w:val="00006A25"/>
    <w:rsid w:val="00010723"/>
    <w:rsid w:val="00011FA7"/>
    <w:rsid w:val="0001294E"/>
    <w:rsid w:val="00014CDD"/>
    <w:rsid w:val="00015849"/>
    <w:rsid w:val="00017A49"/>
    <w:rsid w:val="00017D93"/>
    <w:rsid w:val="00020F13"/>
    <w:rsid w:val="00023196"/>
    <w:rsid w:val="0002345F"/>
    <w:rsid w:val="000275E3"/>
    <w:rsid w:val="0003063F"/>
    <w:rsid w:val="00033ABD"/>
    <w:rsid w:val="00036C84"/>
    <w:rsid w:val="00037D31"/>
    <w:rsid w:val="000428C3"/>
    <w:rsid w:val="000429AB"/>
    <w:rsid w:val="000447E3"/>
    <w:rsid w:val="00045DC0"/>
    <w:rsid w:val="000511D7"/>
    <w:rsid w:val="00051745"/>
    <w:rsid w:val="00053CB8"/>
    <w:rsid w:val="000548C6"/>
    <w:rsid w:val="00055726"/>
    <w:rsid w:val="00062BDB"/>
    <w:rsid w:val="00062D2D"/>
    <w:rsid w:val="00065D44"/>
    <w:rsid w:val="000678EA"/>
    <w:rsid w:val="000707A2"/>
    <w:rsid w:val="00071F64"/>
    <w:rsid w:val="00074D33"/>
    <w:rsid w:val="00074F25"/>
    <w:rsid w:val="00075B6D"/>
    <w:rsid w:val="000766F1"/>
    <w:rsid w:val="00077067"/>
    <w:rsid w:val="00077155"/>
    <w:rsid w:val="000816A4"/>
    <w:rsid w:val="0008236E"/>
    <w:rsid w:val="000823F4"/>
    <w:rsid w:val="00082B9F"/>
    <w:rsid w:val="0008403C"/>
    <w:rsid w:val="00086FBD"/>
    <w:rsid w:val="000913A1"/>
    <w:rsid w:val="000916F4"/>
    <w:rsid w:val="00094138"/>
    <w:rsid w:val="000944F7"/>
    <w:rsid w:val="000966B3"/>
    <w:rsid w:val="000A1489"/>
    <w:rsid w:val="000A22D2"/>
    <w:rsid w:val="000A5FA8"/>
    <w:rsid w:val="000A6116"/>
    <w:rsid w:val="000A67EA"/>
    <w:rsid w:val="000A6A1B"/>
    <w:rsid w:val="000B3AC1"/>
    <w:rsid w:val="000B5034"/>
    <w:rsid w:val="000B5897"/>
    <w:rsid w:val="000B7705"/>
    <w:rsid w:val="000C012C"/>
    <w:rsid w:val="000C0CD2"/>
    <w:rsid w:val="000C1269"/>
    <w:rsid w:val="000C2053"/>
    <w:rsid w:val="000C2DD8"/>
    <w:rsid w:val="000C38CD"/>
    <w:rsid w:val="000C69A4"/>
    <w:rsid w:val="000C784A"/>
    <w:rsid w:val="000C7B5E"/>
    <w:rsid w:val="000D20F1"/>
    <w:rsid w:val="000D33D3"/>
    <w:rsid w:val="000E2928"/>
    <w:rsid w:val="000E29C1"/>
    <w:rsid w:val="000E7F88"/>
    <w:rsid w:val="000F09F2"/>
    <w:rsid w:val="000F13A7"/>
    <w:rsid w:val="000F2897"/>
    <w:rsid w:val="000F3352"/>
    <w:rsid w:val="00104E0A"/>
    <w:rsid w:val="00105205"/>
    <w:rsid w:val="00106C74"/>
    <w:rsid w:val="00107279"/>
    <w:rsid w:val="00107608"/>
    <w:rsid w:val="001106C0"/>
    <w:rsid w:val="001138B3"/>
    <w:rsid w:val="00115C0F"/>
    <w:rsid w:val="00116620"/>
    <w:rsid w:val="00116FAD"/>
    <w:rsid w:val="00116FBD"/>
    <w:rsid w:val="00117316"/>
    <w:rsid w:val="00117596"/>
    <w:rsid w:val="00120D33"/>
    <w:rsid w:val="0012219C"/>
    <w:rsid w:val="00123526"/>
    <w:rsid w:val="00123829"/>
    <w:rsid w:val="001301AC"/>
    <w:rsid w:val="00131F4E"/>
    <w:rsid w:val="00135EE8"/>
    <w:rsid w:val="00137C30"/>
    <w:rsid w:val="001428CA"/>
    <w:rsid w:val="00143468"/>
    <w:rsid w:val="00143693"/>
    <w:rsid w:val="001459F0"/>
    <w:rsid w:val="00151030"/>
    <w:rsid w:val="001510A8"/>
    <w:rsid w:val="001531BE"/>
    <w:rsid w:val="0015492D"/>
    <w:rsid w:val="00154BE8"/>
    <w:rsid w:val="00157F4D"/>
    <w:rsid w:val="0016400D"/>
    <w:rsid w:val="0016600F"/>
    <w:rsid w:val="00170AFD"/>
    <w:rsid w:val="00173378"/>
    <w:rsid w:val="0017625F"/>
    <w:rsid w:val="00176398"/>
    <w:rsid w:val="00177274"/>
    <w:rsid w:val="00180B0C"/>
    <w:rsid w:val="00185A99"/>
    <w:rsid w:val="00185DEF"/>
    <w:rsid w:val="00186A9E"/>
    <w:rsid w:val="00186FCA"/>
    <w:rsid w:val="00187306"/>
    <w:rsid w:val="00187CE6"/>
    <w:rsid w:val="00191087"/>
    <w:rsid w:val="0019252B"/>
    <w:rsid w:val="00194604"/>
    <w:rsid w:val="00194D4C"/>
    <w:rsid w:val="00194E2D"/>
    <w:rsid w:val="00194E3C"/>
    <w:rsid w:val="00197F20"/>
    <w:rsid w:val="001A29C3"/>
    <w:rsid w:val="001A35F0"/>
    <w:rsid w:val="001A4252"/>
    <w:rsid w:val="001A4407"/>
    <w:rsid w:val="001A49D0"/>
    <w:rsid w:val="001A4E97"/>
    <w:rsid w:val="001A647C"/>
    <w:rsid w:val="001A6755"/>
    <w:rsid w:val="001B2619"/>
    <w:rsid w:val="001B3407"/>
    <w:rsid w:val="001B428C"/>
    <w:rsid w:val="001B4A19"/>
    <w:rsid w:val="001B56A4"/>
    <w:rsid w:val="001B7069"/>
    <w:rsid w:val="001B7772"/>
    <w:rsid w:val="001B7E02"/>
    <w:rsid w:val="001B7FE4"/>
    <w:rsid w:val="001C00DA"/>
    <w:rsid w:val="001C377A"/>
    <w:rsid w:val="001C4238"/>
    <w:rsid w:val="001C43E8"/>
    <w:rsid w:val="001C4705"/>
    <w:rsid w:val="001C4A10"/>
    <w:rsid w:val="001C4D19"/>
    <w:rsid w:val="001C66D3"/>
    <w:rsid w:val="001D21FF"/>
    <w:rsid w:val="001D3737"/>
    <w:rsid w:val="001D4EA0"/>
    <w:rsid w:val="001D516D"/>
    <w:rsid w:val="001D6E50"/>
    <w:rsid w:val="001E133F"/>
    <w:rsid w:val="001E4022"/>
    <w:rsid w:val="001E422D"/>
    <w:rsid w:val="001E57DC"/>
    <w:rsid w:val="001E662F"/>
    <w:rsid w:val="001E72A0"/>
    <w:rsid w:val="001F1F70"/>
    <w:rsid w:val="001F29A1"/>
    <w:rsid w:val="001F2FA2"/>
    <w:rsid w:val="001F480B"/>
    <w:rsid w:val="001F6762"/>
    <w:rsid w:val="001F78A3"/>
    <w:rsid w:val="00201567"/>
    <w:rsid w:val="00202782"/>
    <w:rsid w:val="00203CA6"/>
    <w:rsid w:val="00206534"/>
    <w:rsid w:val="00210671"/>
    <w:rsid w:val="00211DF4"/>
    <w:rsid w:val="0021211F"/>
    <w:rsid w:val="00212628"/>
    <w:rsid w:val="00212669"/>
    <w:rsid w:val="00213816"/>
    <w:rsid w:val="00215E45"/>
    <w:rsid w:val="00216B12"/>
    <w:rsid w:val="0022193D"/>
    <w:rsid w:val="00226E10"/>
    <w:rsid w:val="00230F27"/>
    <w:rsid w:val="00235A15"/>
    <w:rsid w:val="002362CA"/>
    <w:rsid w:val="00240792"/>
    <w:rsid w:val="00240D83"/>
    <w:rsid w:val="00241FF9"/>
    <w:rsid w:val="002421AE"/>
    <w:rsid w:val="0024319A"/>
    <w:rsid w:val="00244E99"/>
    <w:rsid w:val="00245ACE"/>
    <w:rsid w:val="00247A48"/>
    <w:rsid w:val="00247A90"/>
    <w:rsid w:val="0025058E"/>
    <w:rsid w:val="00250B05"/>
    <w:rsid w:val="00250BE7"/>
    <w:rsid w:val="00252D91"/>
    <w:rsid w:val="00254FB4"/>
    <w:rsid w:val="00255497"/>
    <w:rsid w:val="00255902"/>
    <w:rsid w:val="00255A44"/>
    <w:rsid w:val="00256956"/>
    <w:rsid w:val="00257058"/>
    <w:rsid w:val="002629BD"/>
    <w:rsid w:val="00263120"/>
    <w:rsid w:val="00267179"/>
    <w:rsid w:val="002746EF"/>
    <w:rsid w:val="0027548B"/>
    <w:rsid w:val="00276B73"/>
    <w:rsid w:val="002772D9"/>
    <w:rsid w:val="002809DA"/>
    <w:rsid w:val="002812F3"/>
    <w:rsid w:val="002821C3"/>
    <w:rsid w:val="00282FB0"/>
    <w:rsid w:val="00283701"/>
    <w:rsid w:val="00284E3A"/>
    <w:rsid w:val="0029245D"/>
    <w:rsid w:val="002938FA"/>
    <w:rsid w:val="00295C9B"/>
    <w:rsid w:val="002968E0"/>
    <w:rsid w:val="002A2893"/>
    <w:rsid w:val="002A578D"/>
    <w:rsid w:val="002A6198"/>
    <w:rsid w:val="002A77C8"/>
    <w:rsid w:val="002B02B3"/>
    <w:rsid w:val="002B1529"/>
    <w:rsid w:val="002B1B3F"/>
    <w:rsid w:val="002B212C"/>
    <w:rsid w:val="002B214F"/>
    <w:rsid w:val="002B3B53"/>
    <w:rsid w:val="002B50FB"/>
    <w:rsid w:val="002C01C9"/>
    <w:rsid w:val="002C103B"/>
    <w:rsid w:val="002C1356"/>
    <w:rsid w:val="002C2FE6"/>
    <w:rsid w:val="002C55AB"/>
    <w:rsid w:val="002C7FEB"/>
    <w:rsid w:val="002D0817"/>
    <w:rsid w:val="002D156F"/>
    <w:rsid w:val="002D5298"/>
    <w:rsid w:val="002D6483"/>
    <w:rsid w:val="002D758A"/>
    <w:rsid w:val="002E1578"/>
    <w:rsid w:val="002E1779"/>
    <w:rsid w:val="002E382F"/>
    <w:rsid w:val="002E5DC8"/>
    <w:rsid w:val="002E6D61"/>
    <w:rsid w:val="002F015D"/>
    <w:rsid w:val="002F07BC"/>
    <w:rsid w:val="002F5C15"/>
    <w:rsid w:val="002F5D0A"/>
    <w:rsid w:val="002F734C"/>
    <w:rsid w:val="00304937"/>
    <w:rsid w:val="00306EDA"/>
    <w:rsid w:val="0030792F"/>
    <w:rsid w:val="00307BB5"/>
    <w:rsid w:val="00311CB3"/>
    <w:rsid w:val="00314619"/>
    <w:rsid w:val="003279A4"/>
    <w:rsid w:val="0033096C"/>
    <w:rsid w:val="0033415E"/>
    <w:rsid w:val="00334517"/>
    <w:rsid w:val="00335478"/>
    <w:rsid w:val="00335AB4"/>
    <w:rsid w:val="00337550"/>
    <w:rsid w:val="00337AAD"/>
    <w:rsid w:val="00342BB9"/>
    <w:rsid w:val="003432A0"/>
    <w:rsid w:val="0034349B"/>
    <w:rsid w:val="003461A8"/>
    <w:rsid w:val="00354B25"/>
    <w:rsid w:val="003601E6"/>
    <w:rsid w:val="00361943"/>
    <w:rsid w:val="00364F7C"/>
    <w:rsid w:val="00366E7B"/>
    <w:rsid w:val="00366ED3"/>
    <w:rsid w:val="00370B62"/>
    <w:rsid w:val="003717C2"/>
    <w:rsid w:val="0037203F"/>
    <w:rsid w:val="0037277B"/>
    <w:rsid w:val="00376448"/>
    <w:rsid w:val="0037697E"/>
    <w:rsid w:val="0037752C"/>
    <w:rsid w:val="00382F17"/>
    <w:rsid w:val="003837F3"/>
    <w:rsid w:val="00385572"/>
    <w:rsid w:val="00386FF6"/>
    <w:rsid w:val="003923F1"/>
    <w:rsid w:val="00394D18"/>
    <w:rsid w:val="00394D40"/>
    <w:rsid w:val="003977F8"/>
    <w:rsid w:val="003A0376"/>
    <w:rsid w:val="003A226B"/>
    <w:rsid w:val="003A31CC"/>
    <w:rsid w:val="003A56E8"/>
    <w:rsid w:val="003A5794"/>
    <w:rsid w:val="003A57E7"/>
    <w:rsid w:val="003B0812"/>
    <w:rsid w:val="003B53BD"/>
    <w:rsid w:val="003B61A8"/>
    <w:rsid w:val="003B6D70"/>
    <w:rsid w:val="003B7A1A"/>
    <w:rsid w:val="003C0DF7"/>
    <w:rsid w:val="003C1B71"/>
    <w:rsid w:val="003C2487"/>
    <w:rsid w:val="003C30F9"/>
    <w:rsid w:val="003C59AC"/>
    <w:rsid w:val="003D09F4"/>
    <w:rsid w:val="003D0A5E"/>
    <w:rsid w:val="003D1BC4"/>
    <w:rsid w:val="003D1C3A"/>
    <w:rsid w:val="003D20C1"/>
    <w:rsid w:val="003D3A8A"/>
    <w:rsid w:val="003D3B15"/>
    <w:rsid w:val="003D42EE"/>
    <w:rsid w:val="003D5A53"/>
    <w:rsid w:val="003D5B5F"/>
    <w:rsid w:val="003E24EC"/>
    <w:rsid w:val="003E2DC8"/>
    <w:rsid w:val="003E397C"/>
    <w:rsid w:val="003E3FA7"/>
    <w:rsid w:val="003E4798"/>
    <w:rsid w:val="003E5AE5"/>
    <w:rsid w:val="003F38D7"/>
    <w:rsid w:val="003F3EAA"/>
    <w:rsid w:val="003F4818"/>
    <w:rsid w:val="003F769A"/>
    <w:rsid w:val="00400E2B"/>
    <w:rsid w:val="004042FD"/>
    <w:rsid w:val="00405F21"/>
    <w:rsid w:val="00406019"/>
    <w:rsid w:val="00411736"/>
    <w:rsid w:val="00412E0E"/>
    <w:rsid w:val="004130D2"/>
    <w:rsid w:val="004133E7"/>
    <w:rsid w:val="00413758"/>
    <w:rsid w:val="004157D5"/>
    <w:rsid w:val="00416E2F"/>
    <w:rsid w:val="00423274"/>
    <w:rsid w:val="0042331B"/>
    <w:rsid w:val="0042576F"/>
    <w:rsid w:val="004260D8"/>
    <w:rsid w:val="004265F0"/>
    <w:rsid w:val="004356F0"/>
    <w:rsid w:val="00437B86"/>
    <w:rsid w:val="00442F4E"/>
    <w:rsid w:val="0044524B"/>
    <w:rsid w:val="00450E49"/>
    <w:rsid w:val="00452147"/>
    <w:rsid w:val="00452D92"/>
    <w:rsid w:val="00453245"/>
    <w:rsid w:val="00453650"/>
    <w:rsid w:val="0045458E"/>
    <w:rsid w:val="004615A4"/>
    <w:rsid w:val="00461836"/>
    <w:rsid w:val="00466094"/>
    <w:rsid w:val="004678EA"/>
    <w:rsid w:val="00467E3B"/>
    <w:rsid w:val="0047103B"/>
    <w:rsid w:val="00471123"/>
    <w:rsid w:val="004716E6"/>
    <w:rsid w:val="004734A8"/>
    <w:rsid w:val="00474A83"/>
    <w:rsid w:val="00480C04"/>
    <w:rsid w:val="00484A55"/>
    <w:rsid w:val="00484BEE"/>
    <w:rsid w:val="0048695F"/>
    <w:rsid w:val="00487CC1"/>
    <w:rsid w:val="004956EA"/>
    <w:rsid w:val="0049645C"/>
    <w:rsid w:val="004A0237"/>
    <w:rsid w:val="004A1607"/>
    <w:rsid w:val="004A17AC"/>
    <w:rsid w:val="004A26A6"/>
    <w:rsid w:val="004A5671"/>
    <w:rsid w:val="004A5A0D"/>
    <w:rsid w:val="004A5AFE"/>
    <w:rsid w:val="004A7F60"/>
    <w:rsid w:val="004B0CD7"/>
    <w:rsid w:val="004B3959"/>
    <w:rsid w:val="004B3D0E"/>
    <w:rsid w:val="004B6DA3"/>
    <w:rsid w:val="004B6FD1"/>
    <w:rsid w:val="004C06A0"/>
    <w:rsid w:val="004C0855"/>
    <w:rsid w:val="004C2D7D"/>
    <w:rsid w:val="004C35FA"/>
    <w:rsid w:val="004C50A2"/>
    <w:rsid w:val="004C51D5"/>
    <w:rsid w:val="004C6259"/>
    <w:rsid w:val="004D0BB9"/>
    <w:rsid w:val="004D0BF8"/>
    <w:rsid w:val="004D1239"/>
    <w:rsid w:val="004D1C8B"/>
    <w:rsid w:val="004D33AE"/>
    <w:rsid w:val="004D3722"/>
    <w:rsid w:val="004D7C33"/>
    <w:rsid w:val="004E2746"/>
    <w:rsid w:val="004E6251"/>
    <w:rsid w:val="004F1BF5"/>
    <w:rsid w:val="004F2A5F"/>
    <w:rsid w:val="004F2D3A"/>
    <w:rsid w:val="004F76C9"/>
    <w:rsid w:val="00501681"/>
    <w:rsid w:val="005025CA"/>
    <w:rsid w:val="0050325D"/>
    <w:rsid w:val="00505B1A"/>
    <w:rsid w:val="005060F9"/>
    <w:rsid w:val="005121A5"/>
    <w:rsid w:val="00513892"/>
    <w:rsid w:val="00513A0E"/>
    <w:rsid w:val="005143A8"/>
    <w:rsid w:val="0052234F"/>
    <w:rsid w:val="00523016"/>
    <w:rsid w:val="005230CA"/>
    <w:rsid w:val="00525926"/>
    <w:rsid w:val="00526080"/>
    <w:rsid w:val="0053108D"/>
    <w:rsid w:val="00532EE1"/>
    <w:rsid w:val="005340CB"/>
    <w:rsid w:val="00534D68"/>
    <w:rsid w:val="00537641"/>
    <w:rsid w:val="005406A7"/>
    <w:rsid w:val="00541CAC"/>
    <w:rsid w:val="0054302D"/>
    <w:rsid w:val="0054585F"/>
    <w:rsid w:val="00552431"/>
    <w:rsid w:val="0055496A"/>
    <w:rsid w:val="00554D84"/>
    <w:rsid w:val="005560E8"/>
    <w:rsid w:val="005569BB"/>
    <w:rsid w:val="00557A92"/>
    <w:rsid w:val="005601D6"/>
    <w:rsid w:val="005634D8"/>
    <w:rsid w:val="00571348"/>
    <w:rsid w:val="00577F18"/>
    <w:rsid w:val="0058025F"/>
    <w:rsid w:val="00585DC7"/>
    <w:rsid w:val="00585EA0"/>
    <w:rsid w:val="00586040"/>
    <w:rsid w:val="005864C2"/>
    <w:rsid w:val="00587913"/>
    <w:rsid w:val="00587FDE"/>
    <w:rsid w:val="00590815"/>
    <w:rsid w:val="0059502E"/>
    <w:rsid w:val="00596F26"/>
    <w:rsid w:val="00597686"/>
    <w:rsid w:val="005A30F3"/>
    <w:rsid w:val="005A792C"/>
    <w:rsid w:val="005B11DD"/>
    <w:rsid w:val="005B1631"/>
    <w:rsid w:val="005B1B70"/>
    <w:rsid w:val="005B2FDD"/>
    <w:rsid w:val="005B3085"/>
    <w:rsid w:val="005C248C"/>
    <w:rsid w:val="005C2946"/>
    <w:rsid w:val="005C4A8B"/>
    <w:rsid w:val="005C59DF"/>
    <w:rsid w:val="005D0215"/>
    <w:rsid w:val="005D33FF"/>
    <w:rsid w:val="005D685F"/>
    <w:rsid w:val="005D7BF1"/>
    <w:rsid w:val="005E0F7E"/>
    <w:rsid w:val="005E0F9D"/>
    <w:rsid w:val="005E169D"/>
    <w:rsid w:val="005E1E49"/>
    <w:rsid w:val="005E30A1"/>
    <w:rsid w:val="005E59B5"/>
    <w:rsid w:val="005E69AB"/>
    <w:rsid w:val="005E7385"/>
    <w:rsid w:val="005F076D"/>
    <w:rsid w:val="005F0FBB"/>
    <w:rsid w:val="005F6E9B"/>
    <w:rsid w:val="006009C9"/>
    <w:rsid w:val="006010CD"/>
    <w:rsid w:val="00602519"/>
    <w:rsid w:val="00602C8C"/>
    <w:rsid w:val="006040B9"/>
    <w:rsid w:val="00604EFF"/>
    <w:rsid w:val="0060581A"/>
    <w:rsid w:val="00605943"/>
    <w:rsid w:val="00607F7E"/>
    <w:rsid w:val="006115A2"/>
    <w:rsid w:val="0061552E"/>
    <w:rsid w:val="00620328"/>
    <w:rsid w:val="006206A7"/>
    <w:rsid w:val="006217E6"/>
    <w:rsid w:val="00624BF1"/>
    <w:rsid w:val="006268BD"/>
    <w:rsid w:val="00627E2C"/>
    <w:rsid w:val="006322AF"/>
    <w:rsid w:val="00632F5B"/>
    <w:rsid w:val="00632FAF"/>
    <w:rsid w:val="00632FF0"/>
    <w:rsid w:val="006338A7"/>
    <w:rsid w:val="006368DA"/>
    <w:rsid w:val="006400EA"/>
    <w:rsid w:val="00645245"/>
    <w:rsid w:val="0064704F"/>
    <w:rsid w:val="00652EEB"/>
    <w:rsid w:val="00654744"/>
    <w:rsid w:val="00656427"/>
    <w:rsid w:val="006577F6"/>
    <w:rsid w:val="006602DC"/>
    <w:rsid w:val="00661FE8"/>
    <w:rsid w:val="006631CA"/>
    <w:rsid w:val="0066358F"/>
    <w:rsid w:val="00665C98"/>
    <w:rsid w:val="006663BF"/>
    <w:rsid w:val="00666C64"/>
    <w:rsid w:val="00670877"/>
    <w:rsid w:val="00673C24"/>
    <w:rsid w:val="00680450"/>
    <w:rsid w:val="00684FB5"/>
    <w:rsid w:val="00686796"/>
    <w:rsid w:val="00692100"/>
    <w:rsid w:val="0069345B"/>
    <w:rsid w:val="0069448E"/>
    <w:rsid w:val="00696881"/>
    <w:rsid w:val="006A1F39"/>
    <w:rsid w:val="006A2ACA"/>
    <w:rsid w:val="006A3C13"/>
    <w:rsid w:val="006A3DD7"/>
    <w:rsid w:val="006A4CA1"/>
    <w:rsid w:val="006A7914"/>
    <w:rsid w:val="006B0604"/>
    <w:rsid w:val="006B0A0F"/>
    <w:rsid w:val="006B3787"/>
    <w:rsid w:val="006B3EA5"/>
    <w:rsid w:val="006B4291"/>
    <w:rsid w:val="006B4F5B"/>
    <w:rsid w:val="006B644F"/>
    <w:rsid w:val="006B7572"/>
    <w:rsid w:val="006C1BF6"/>
    <w:rsid w:val="006C5073"/>
    <w:rsid w:val="006C5CE5"/>
    <w:rsid w:val="006C7EE3"/>
    <w:rsid w:val="006D0480"/>
    <w:rsid w:val="006E3B79"/>
    <w:rsid w:val="006E3E64"/>
    <w:rsid w:val="006E7DC2"/>
    <w:rsid w:val="006F27FE"/>
    <w:rsid w:val="006F2A55"/>
    <w:rsid w:val="006F2C1B"/>
    <w:rsid w:val="006F3953"/>
    <w:rsid w:val="006F4AAA"/>
    <w:rsid w:val="00700547"/>
    <w:rsid w:val="00703841"/>
    <w:rsid w:val="00706118"/>
    <w:rsid w:val="007113C0"/>
    <w:rsid w:val="00712124"/>
    <w:rsid w:val="007158B3"/>
    <w:rsid w:val="007177BC"/>
    <w:rsid w:val="00722285"/>
    <w:rsid w:val="00723A0B"/>
    <w:rsid w:val="007257B2"/>
    <w:rsid w:val="00726508"/>
    <w:rsid w:val="00726BD0"/>
    <w:rsid w:val="00730861"/>
    <w:rsid w:val="00734A82"/>
    <w:rsid w:val="0073551A"/>
    <w:rsid w:val="007372ED"/>
    <w:rsid w:val="00737B53"/>
    <w:rsid w:val="00737D69"/>
    <w:rsid w:val="007406BD"/>
    <w:rsid w:val="0074074A"/>
    <w:rsid w:val="00741E03"/>
    <w:rsid w:val="00744455"/>
    <w:rsid w:val="007445B8"/>
    <w:rsid w:val="00744AD7"/>
    <w:rsid w:val="007452F9"/>
    <w:rsid w:val="0074668F"/>
    <w:rsid w:val="00747C9F"/>
    <w:rsid w:val="00750481"/>
    <w:rsid w:val="0075051E"/>
    <w:rsid w:val="00750DBF"/>
    <w:rsid w:val="00750F1B"/>
    <w:rsid w:val="007512B8"/>
    <w:rsid w:val="0075196F"/>
    <w:rsid w:val="00751BFB"/>
    <w:rsid w:val="00752438"/>
    <w:rsid w:val="00753F08"/>
    <w:rsid w:val="0075506A"/>
    <w:rsid w:val="0075617F"/>
    <w:rsid w:val="007607FA"/>
    <w:rsid w:val="00761267"/>
    <w:rsid w:val="00761DE5"/>
    <w:rsid w:val="00761EDA"/>
    <w:rsid w:val="0076359E"/>
    <w:rsid w:val="0076530E"/>
    <w:rsid w:val="00765439"/>
    <w:rsid w:val="007677CB"/>
    <w:rsid w:val="00771FD4"/>
    <w:rsid w:val="00773710"/>
    <w:rsid w:val="0077449F"/>
    <w:rsid w:val="00775F3E"/>
    <w:rsid w:val="00776E8E"/>
    <w:rsid w:val="00777862"/>
    <w:rsid w:val="00782DAD"/>
    <w:rsid w:val="00783814"/>
    <w:rsid w:val="00787BBE"/>
    <w:rsid w:val="00790C77"/>
    <w:rsid w:val="00791F9A"/>
    <w:rsid w:val="007921FC"/>
    <w:rsid w:val="007962FF"/>
    <w:rsid w:val="0079648F"/>
    <w:rsid w:val="0079719D"/>
    <w:rsid w:val="007A1182"/>
    <w:rsid w:val="007A319E"/>
    <w:rsid w:val="007A394E"/>
    <w:rsid w:val="007A44CB"/>
    <w:rsid w:val="007A501F"/>
    <w:rsid w:val="007B0121"/>
    <w:rsid w:val="007B0395"/>
    <w:rsid w:val="007B043B"/>
    <w:rsid w:val="007B2179"/>
    <w:rsid w:val="007B312C"/>
    <w:rsid w:val="007B4967"/>
    <w:rsid w:val="007B6951"/>
    <w:rsid w:val="007C0D78"/>
    <w:rsid w:val="007C14BE"/>
    <w:rsid w:val="007C793E"/>
    <w:rsid w:val="007D4C48"/>
    <w:rsid w:val="007D667E"/>
    <w:rsid w:val="007D760A"/>
    <w:rsid w:val="007E2914"/>
    <w:rsid w:val="007E31F0"/>
    <w:rsid w:val="007E3403"/>
    <w:rsid w:val="007E629C"/>
    <w:rsid w:val="007F236B"/>
    <w:rsid w:val="007F3DFE"/>
    <w:rsid w:val="007F51D0"/>
    <w:rsid w:val="007F6F55"/>
    <w:rsid w:val="008026C1"/>
    <w:rsid w:val="00802883"/>
    <w:rsid w:val="00810105"/>
    <w:rsid w:val="0081357A"/>
    <w:rsid w:val="00815180"/>
    <w:rsid w:val="008154B0"/>
    <w:rsid w:val="00815D15"/>
    <w:rsid w:val="00820979"/>
    <w:rsid w:val="00820CCF"/>
    <w:rsid w:val="00821032"/>
    <w:rsid w:val="0082212B"/>
    <w:rsid w:val="0082365E"/>
    <w:rsid w:val="00825960"/>
    <w:rsid w:val="00826DD8"/>
    <w:rsid w:val="00826E86"/>
    <w:rsid w:val="008323A0"/>
    <w:rsid w:val="008331BC"/>
    <w:rsid w:val="00835699"/>
    <w:rsid w:val="008364F7"/>
    <w:rsid w:val="00836A3F"/>
    <w:rsid w:val="00837468"/>
    <w:rsid w:val="00837D97"/>
    <w:rsid w:val="00837E57"/>
    <w:rsid w:val="00840E90"/>
    <w:rsid w:val="008418EA"/>
    <w:rsid w:val="00843245"/>
    <w:rsid w:val="00843430"/>
    <w:rsid w:val="008442E2"/>
    <w:rsid w:val="00846921"/>
    <w:rsid w:val="00847F5C"/>
    <w:rsid w:val="00850DBA"/>
    <w:rsid w:val="0085493E"/>
    <w:rsid w:val="0085535C"/>
    <w:rsid w:val="0085625E"/>
    <w:rsid w:val="008574CB"/>
    <w:rsid w:val="00857D7C"/>
    <w:rsid w:val="008625AE"/>
    <w:rsid w:val="00863284"/>
    <w:rsid w:val="00863A3E"/>
    <w:rsid w:val="00871BEC"/>
    <w:rsid w:val="00872A43"/>
    <w:rsid w:val="0087438D"/>
    <w:rsid w:val="00874640"/>
    <w:rsid w:val="008751FC"/>
    <w:rsid w:val="008759A9"/>
    <w:rsid w:val="008759DA"/>
    <w:rsid w:val="008760C9"/>
    <w:rsid w:val="0087629E"/>
    <w:rsid w:val="00876F2F"/>
    <w:rsid w:val="008772F7"/>
    <w:rsid w:val="00880CF4"/>
    <w:rsid w:val="0088561C"/>
    <w:rsid w:val="008859EE"/>
    <w:rsid w:val="00885E2F"/>
    <w:rsid w:val="00887999"/>
    <w:rsid w:val="00891F02"/>
    <w:rsid w:val="0089553D"/>
    <w:rsid w:val="00895FCB"/>
    <w:rsid w:val="008A0451"/>
    <w:rsid w:val="008A061E"/>
    <w:rsid w:val="008A170D"/>
    <w:rsid w:val="008A29CB"/>
    <w:rsid w:val="008A5A7E"/>
    <w:rsid w:val="008A7E73"/>
    <w:rsid w:val="008B1DAB"/>
    <w:rsid w:val="008B1F0B"/>
    <w:rsid w:val="008B3A55"/>
    <w:rsid w:val="008B4F04"/>
    <w:rsid w:val="008B5EEB"/>
    <w:rsid w:val="008B74D7"/>
    <w:rsid w:val="008C10B3"/>
    <w:rsid w:val="008C1623"/>
    <w:rsid w:val="008C388F"/>
    <w:rsid w:val="008C3E02"/>
    <w:rsid w:val="008C78A0"/>
    <w:rsid w:val="008D0A3E"/>
    <w:rsid w:val="008D1925"/>
    <w:rsid w:val="008D1D97"/>
    <w:rsid w:val="008E38C5"/>
    <w:rsid w:val="008E5012"/>
    <w:rsid w:val="008F3179"/>
    <w:rsid w:val="008F370A"/>
    <w:rsid w:val="008F6028"/>
    <w:rsid w:val="009007B6"/>
    <w:rsid w:val="00900D63"/>
    <w:rsid w:val="00903C60"/>
    <w:rsid w:val="00905706"/>
    <w:rsid w:val="00906679"/>
    <w:rsid w:val="00907409"/>
    <w:rsid w:val="00912A5D"/>
    <w:rsid w:val="00915C4F"/>
    <w:rsid w:val="00916BB5"/>
    <w:rsid w:val="00920810"/>
    <w:rsid w:val="00921F31"/>
    <w:rsid w:val="00924448"/>
    <w:rsid w:val="0092599E"/>
    <w:rsid w:val="00931BC4"/>
    <w:rsid w:val="009320C0"/>
    <w:rsid w:val="00934885"/>
    <w:rsid w:val="0093545F"/>
    <w:rsid w:val="00936BDE"/>
    <w:rsid w:val="00941A9A"/>
    <w:rsid w:val="00941DB2"/>
    <w:rsid w:val="00943190"/>
    <w:rsid w:val="009433DD"/>
    <w:rsid w:val="00944570"/>
    <w:rsid w:val="00947A73"/>
    <w:rsid w:val="009537A0"/>
    <w:rsid w:val="009543DE"/>
    <w:rsid w:val="00955AD4"/>
    <w:rsid w:val="00957EB2"/>
    <w:rsid w:val="009622E8"/>
    <w:rsid w:val="00967E4E"/>
    <w:rsid w:val="0098083E"/>
    <w:rsid w:val="0098502A"/>
    <w:rsid w:val="009901D5"/>
    <w:rsid w:val="00992ABE"/>
    <w:rsid w:val="00996BAB"/>
    <w:rsid w:val="0099789C"/>
    <w:rsid w:val="009A4399"/>
    <w:rsid w:val="009A7121"/>
    <w:rsid w:val="009A718D"/>
    <w:rsid w:val="009B0D89"/>
    <w:rsid w:val="009B3C6F"/>
    <w:rsid w:val="009C1196"/>
    <w:rsid w:val="009C5BE2"/>
    <w:rsid w:val="009C6AAF"/>
    <w:rsid w:val="009C70E7"/>
    <w:rsid w:val="009D0240"/>
    <w:rsid w:val="009D183D"/>
    <w:rsid w:val="009D1D0B"/>
    <w:rsid w:val="009D3C21"/>
    <w:rsid w:val="009D6A56"/>
    <w:rsid w:val="009E2DA7"/>
    <w:rsid w:val="009F1DB7"/>
    <w:rsid w:val="009F3934"/>
    <w:rsid w:val="00A016D2"/>
    <w:rsid w:val="00A02B9F"/>
    <w:rsid w:val="00A04ABD"/>
    <w:rsid w:val="00A064FA"/>
    <w:rsid w:val="00A1070D"/>
    <w:rsid w:val="00A11780"/>
    <w:rsid w:val="00A14C26"/>
    <w:rsid w:val="00A16C28"/>
    <w:rsid w:val="00A16FD4"/>
    <w:rsid w:val="00A2660C"/>
    <w:rsid w:val="00A27CFE"/>
    <w:rsid w:val="00A30ADC"/>
    <w:rsid w:val="00A320A7"/>
    <w:rsid w:val="00A45D9C"/>
    <w:rsid w:val="00A460FB"/>
    <w:rsid w:val="00A4729C"/>
    <w:rsid w:val="00A479B6"/>
    <w:rsid w:val="00A511CD"/>
    <w:rsid w:val="00A51BB2"/>
    <w:rsid w:val="00A53006"/>
    <w:rsid w:val="00A53EEF"/>
    <w:rsid w:val="00A5526D"/>
    <w:rsid w:val="00A5538D"/>
    <w:rsid w:val="00A578C6"/>
    <w:rsid w:val="00A602E1"/>
    <w:rsid w:val="00A613D4"/>
    <w:rsid w:val="00A618DC"/>
    <w:rsid w:val="00A618DE"/>
    <w:rsid w:val="00A66CBE"/>
    <w:rsid w:val="00A676A9"/>
    <w:rsid w:val="00A7009A"/>
    <w:rsid w:val="00A7013B"/>
    <w:rsid w:val="00A7421D"/>
    <w:rsid w:val="00A753E7"/>
    <w:rsid w:val="00A76F1F"/>
    <w:rsid w:val="00A779D9"/>
    <w:rsid w:val="00A80F77"/>
    <w:rsid w:val="00A84196"/>
    <w:rsid w:val="00A85121"/>
    <w:rsid w:val="00A87422"/>
    <w:rsid w:val="00A90971"/>
    <w:rsid w:val="00A94F8B"/>
    <w:rsid w:val="00A9532A"/>
    <w:rsid w:val="00A95F6D"/>
    <w:rsid w:val="00A97908"/>
    <w:rsid w:val="00AA6F25"/>
    <w:rsid w:val="00AB1EB3"/>
    <w:rsid w:val="00AB2374"/>
    <w:rsid w:val="00AB24CF"/>
    <w:rsid w:val="00AB34A2"/>
    <w:rsid w:val="00AB34D3"/>
    <w:rsid w:val="00AB37ED"/>
    <w:rsid w:val="00AB48D3"/>
    <w:rsid w:val="00AB5AE8"/>
    <w:rsid w:val="00AB73D1"/>
    <w:rsid w:val="00AB78E4"/>
    <w:rsid w:val="00AC0D89"/>
    <w:rsid w:val="00AC201B"/>
    <w:rsid w:val="00AC2203"/>
    <w:rsid w:val="00AC2F10"/>
    <w:rsid w:val="00AC4797"/>
    <w:rsid w:val="00AC5D54"/>
    <w:rsid w:val="00AD00CD"/>
    <w:rsid w:val="00AD1CF5"/>
    <w:rsid w:val="00AD1DDB"/>
    <w:rsid w:val="00AD1E91"/>
    <w:rsid w:val="00AD23D7"/>
    <w:rsid w:val="00AD4069"/>
    <w:rsid w:val="00AD6622"/>
    <w:rsid w:val="00AD6775"/>
    <w:rsid w:val="00AD7EFB"/>
    <w:rsid w:val="00AE11F5"/>
    <w:rsid w:val="00AE3080"/>
    <w:rsid w:val="00AE4425"/>
    <w:rsid w:val="00AE457D"/>
    <w:rsid w:val="00AE6692"/>
    <w:rsid w:val="00AE6856"/>
    <w:rsid w:val="00AF167B"/>
    <w:rsid w:val="00AF2034"/>
    <w:rsid w:val="00AF2978"/>
    <w:rsid w:val="00AF4EF7"/>
    <w:rsid w:val="00AF65E4"/>
    <w:rsid w:val="00AF7A9C"/>
    <w:rsid w:val="00B017F1"/>
    <w:rsid w:val="00B07F78"/>
    <w:rsid w:val="00B16C16"/>
    <w:rsid w:val="00B1717E"/>
    <w:rsid w:val="00B2026E"/>
    <w:rsid w:val="00B25844"/>
    <w:rsid w:val="00B2589D"/>
    <w:rsid w:val="00B25925"/>
    <w:rsid w:val="00B30926"/>
    <w:rsid w:val="00B30AF2"/>
    <w:rsid w:val="00B30EB4"/>
    <w:rsid w:val="00B312B3"/>
    <w:rsid w:val="00B31BFF"/>
    <w:rsid w:val="00B33677"/>
    <w:rsid w:val="00B33B8D"/>
    <w:rsid w:val="00B35641"/>
    <w:rsid w:val="00B3763D"/>
    <w:rsid w:val="00B41CC5"/>
    <w:rsid w:val="00B43164"/>
    <w:rsid w:val="00B43F1D"/>
    <w:rsid w:val="00B4545D"/>
    <w:rsid w:val="00B47449"/>
    <w:rsid w:val="00B51466"/>
    <w:rsid w:val="00B53EE9"/>
    <w:rsid w:val="00B54DF8"/>
    <w:rsid w:val="00B559A6"/>
    <w:rsid w:val="00B56264"/>
    <w:rsid w:val="00B573CB"/>
    <w:rsid w:val="00B57DF5"/>
    <w:rsid w:val="00B6112C"/>
    <w:rsid w:val="00B61B82"/>
    <w:rsid w:val="00B64769"/>
    <w:rsid w:val="00B66D7B"/>
    <w:rsid w:val="00B704B8"/>
    <w:rsid w:val="00B76DE5"/>
    <w:rsid w:val="00B770F1"/>
    <w:rsid w:val="00B779B6"/>
    <w:rsid w:val="00B80F00"/>
    <w:rsid w:val="00B83053"/>
    <w:rsid w:val="00B83F31"/>
    <w:rsid w:val="00B856A7"/>
    <w:rsid w:val="00B86099"/>
    <w:rsid w:val="00B92686"/>
    <w:rsid w:val="00B92B11"/>
    <w:rsid w:val="00B92D7F"/>
    <w:rsid w:val="00B9355D"/>
    <w:rsid w:val="00B9373A"/>
    <w:rsid w:val="00B948BD"/>
    <w:rsid w:val="00B96308"/>
    <w:rsid w:val="00BA01E3"/>
    <w:rsid w:val="00BA42AF"/>
    <w:rsid w:val="00BB264A"/>
    <w:rsid w:val="00BB5112"/>
    <w:rsid w:val="00BB5605"/>
    <w:rsid w:val="00BB5FEA"/>
    <w:rsid w:val="00BC11EE"/>
    <w:rsid w:val="00BC1DDF"/>
    <w:rsid w:val="00BC274B"/>
    <w:rsid w:val="00BC3354"/>
    <w:rsid w:val="00BC4322"/>
    <w:rsid w:val="00BC53E3"/>
    <w:rsid w:val="00BC643C"/>
    <w:rsid w:val="00BC7627"/>
    <w:rsid w:val="00BC799D"/>
    <w:rsid w:val="00BC7E8A"/>
    <w:rsid w:val="00BD106C"/>
    <w:rsid w:val="00BD355F"/>
    <w:rsid w:val="00BD47C8"/>
    <w:rsid w:val="00BD58A4"/>
    <w:rsid w:val="00BD5BAE"/>
    <w:rsid w:val="00BD7C1A"/>
    <w:rsid w:val="00BE1409"/>
    <w:rsid w:val="00BE1FDC"/>
    <w:rsid w:val="00BE5D3E"/>
    <w:rsid w:val="00BF023D"/>
    <w:rsid w:val="00BF02A2"/>
    <w:rsid w:val="00BF07D3"/>
    <w:rsid w:val="00BF25B8"/>
    <w:rsid w:val="00BF278F"/>
    <w:rsid w:val="00BF2972"/>
    <w:rsid w:val="00BF4FAD"/>
    <w:rsid w:val="00BF6F8A"/>
    <w:rsid w:val="00BF7FA9"/>
    <w:rsid w:val="00C01E7C"/>
    <w:rsid w:val="00C0353D"/>
    <w:rsid w:val="00C051EA"/>
    <w:rsid w:val="00C05EC7"/>
    <w:rsid w:val="00C06F3C"/>
    <w:rsid w:val="00C12516"/>
    <w:rsid w:val="00C12B7C"/>
    <w:rsid w:val="00C1510E"/>
    <w:rsid w:val="00C16E48"/>
    <w:rsid w:val="00C2075C"/>
    <w:rsid w:val="00C21800"/>
    <w:rsid w:val="00C24F93"/>
    <w:rsid w:val="00C26B4F"/>
    <w:rsid w:val="00C27EE8"/>
    <w:rsid w:val="00C31445"/>
    <w:rsid w:val="00C3160A"/>
    <w:rsid w:val="00C349DE"/>
    <w:rsid w:val="00C35EAC"/>
    <w:rsid w:val="00C36C24"/>
    <w:rsid w:val="00C406B0"/>
    <w:rsid w:val="00C423BC"/>
    <w:rsid w:val="00C4262B"/>
    <w:rsid w:val="00C43A64"/>
    <w:rsid w:val="00C453F8"/>
    <w:rsid w:val="00C46B42"/>
    <w:rsid w:val="00C47A41"/>
    <w:rsid w:val="00C47E37"/>
    <w:rsid w:val="00C51B71"/>
    <w:rsid w:val="00C56BB5"/>
    <w:rsid w:val="00C62608"/>
    <w:rsid w:val="00C633F4"/>
    <w:rsid w:val="00C635B5"/>
    <w:rsid w:val="00C65C98"/>
    <w:rsid w:val="00C66125"/>
    <w:rsid w:val="00C6656E"/>
    <w:rsid w:val="00C6790F"/>
    <w:rsid w:val="00C70017"/>
    <w:rsid w:val="00C705DD"/>
    <w:rsid w:val="00C70D26"/>
    <w:rsid w:val="00C7149C"/>
    <w:rsid w:val="00C71812"/>
    <w:rsid w:val="00C7376C"/>
    <w:rsid w:val="00C76C83"/>
    <w:rsid w:val="00C81474"/>
    <w:rsid w:val="00C81B17"/>
    <w:rsid w:val="00C8731B"/>
    <w:rsid w:val="00C90DDF"/>
    <w:rsid w:val="00C91F3E"/>
    <w:rsid w:val="00C91F8B"/>
    <w:rsid w:val="00C9245B"/>
    <w:rsid w:val="00C939F6"/>
    <w:rsid w:val="00C95AC2"/>
    <w:rsid w:val="00CA5AD1"/>
    <w:rsid w:val="00CA6F5F"/>
    <w:rsid w:val="00CB0B8B"/>
    <w:rsid w:val="00CB0F6C"/>
    <w:rsid w:val="00CB2266"/>
    <w:rsid w:val="00CB2AB3"/>
    <w:rsid w:val="00CB4874"/>
    <w:rsid w:val="00CB55B0"/>
    <w:rsid w:val="00CB60F0"/>
    <w:rsid w:val="00CC11A1"/>
    <w:rsid w:val="00CC1A44"/>
    <w:rsid w:val="00CC1BD1"/>
    <w:rsid w:val="00CC2511"/>
    <w:rsid w:val="00CC2A0C"/>
    <w:rsid w:val="00CC2ABD"/>
    <w:rsid w:val="00CC4758"/>
    <w:rsid w:val="00CC6B6F"/>
    <w:rsid w:val="00CD07B7"/>
    <w:rsid w:val="00CD0A42"/>
    <w:rsid w:val="00CD1DE1"/>
    <w:rsid w:val="00CD4E8C"/>
    <w:rsid w:val="00CD59C0"/>
    <w:rsid w:val="00CE1B7F"/>
    <w:rsid w:val="00CE3514"/>
    <w:rsid w:val="00CE4E56"/>
    <w:rsid w:val="00CE4EAF"/>
    <w:rsid w:val="00CE5779"/>
    <w:rsid w:val="00CF7B73"/>
    <w:rsid w:val="00D006AD"/>
    <w:rsid w:val="00D01B8C"/>
    <w:rsid w:val="00D02C3E"/>
    <w:rsid w:val="00D03F40"/>
    <w:rsid w:val="00D04447"/>
    <w:rsid w:val="00D05031"/>
    <w:rsid w:val="00D05D6C"/>
    <w:rsid w:val="00D07B16"/>
    <w:rsid w:val="00D12486"/>
    <w:rsid w:val="00D12A2E"/>
    <w:rsid w:val="00D14CF9"/>
    <w:rsid w:val="00D156DD"/>
    <w:rsid w:val="00D21F25"/>
    <w:rsid w:val="00D24DAA"/>
    <w:rsid w:val="00D26F66"/>
    <w:rsid w:val="00D2797B"/>
    <w:rsid w:val="00D3001A"/>
    <w:rsid w:val="00D31B23"/>
    <w:rsid w:val="00D31C10"/>
    <w:rsid w:val="00D33A1A"/>
    <w:rsid w:val="00D33A32"/>
    <w:rsid w:val="00D350B9"/>
    <w:rsid w:val="00D37221"/>
    <w:rsid w:val="00D4039C"/>
    <w:rsid w:val="00D43395"/>
    <w:rsid w:val="00D44182"/>
    <w:rsid w:val="00D51D5E"/>
    <w:rsid w:val="00D5285E"/>
    <w:rsid w:val="00D636BA"/>
    <w:rsid w:val="00D65892"/>
    <w:rsid w:val="00D74573"/>
    <w:rsid w:val="00D770D7"/>
    <w:rsid w:val="00D775D3"/>
    <w:rsid w:val="00D81274"/>
    <w:rsid w:val="00D90316"/>
    <w:rsid w:val="00D90706"/>
    <w:rsid w:val="00D92096"/>
    <w:rsid w:val="00D97786"/>
    <w:rsid w:val="00DA0352"/>
    <w:rsid w:val="00DA28AB"/>
    <w:rsid w:val="00DA2B80"/>
    <w:rsid w:val="00DA3BB2"/>
    <w:rsid w:val="00DA4607"/>
    <w:rsid w:val="00DA5BCF"/>
    <w:rsid w:val="00DA6D4F"/>
    <w:rsid w:val="00DB23D5"/>
    <w:rsid w:val="00DB3FF7"/>
    <w:rsid w:val="00DB48E2"/>
    <w:rsid w:val="00DB5AE8"/>
    <w:rsid w:val="00DB6893"/>
    <w:rsid w:val="00DB7B3F"/>
    <w:rsid w:val="00DC0D91"/>
    <w:rsid w:val="00DC3EAB"/>
    <w:rsid w:val="00DD39C4"/>
    <w:rsid w:val="00DD6A5A"/>
    <w:rsid w:val="00DD7EB5"/>
    <w:rsid w:val="00DE0421"/>
    <w:rsid w:val="00DE1375"/>
    <w:rsid w:val="00DE2995"/>
    <w:rsid w:val="00DE3DE6"/>
    <w:rsid w:val="00DE50E0"/>
    <w:rsid w:val="00DE64FE"/>
    <w:rsid w:val="00DF0EFB"/>
    <w:rsid w:val="00DF166C"/>
    <w:rsid w:val="00DF1E32"/>
    <w:rsid w:val="00DF28C1"/>
    <w:rsid w:val="00E0007D"/>
    <w:rsid w:val="00E001D4"/>
    <w:rsid w:val="00E002EE"/>
    <w:rsid w:val="00E005F3"/>
    <w:rsid w:val="00E02E06"/>
    <w:rsid w:val="00E02E3A"/>
    <w:rsid w:val="00E04E58"/>
    <w:rsid w:val="00E1253D"/>
    <w:rsid w:val="00E1412E"/>
    <w:rsid w:val="00E15D9D"/>
    <w:rsid w:val="00E22B48"/>
    <w:rsid w:val="00E24529"/>
    <w:rsid w:val="00E2670A"/>
    <w:rsid w:val="00E27E71"/>
    <w:rsid w:val="00E3276E"/>
    <w:rsid w:val="00E3285F"/>
    <w:rsid w:val="00E3633F"/>
    <w:rsid w:val="00E37C3B"/>
    <w:rsid w:val="00E42800"/>
    <w:rsid w:val="00E4425E"/>
    <w:rsid w:val="00E44F7C"/>
    <w:rsid w:val="00E4631E"/>
    <w:rsid w:val="00E4633B"/>
    <w:rsid w:val="00E51DCC"/>
    <w:rsid w:val="00E53B6E"/>
    <w:rsid w:val="00E547A7"/>
    <w:rsid w:val="00E5521B"/>
    <w:rsid w:val="00E562F6"/>
    <w:rsid w:val="00E56C4E"/>
    <w:rsid w:val="00E578BA"/>
    <w:rsid w:val="00E57B4E"/>
    <w:rsid w:val="00E60D8B"/>
    <w:rsid w:val="00E622F3"/>
    <w:rsid w:val="00E635F0"/>
    <w:rsid w:val="00E6392A"/>
    <w:rsid w:val="00E64FE2"/>
    <w:rsid w:val="00E65233"/>
    <w:rsid w:val="00E76FED"/>
    <w:rsid w:val="00E8151F"/>
    <w:rsid w:val="00E83A51"/>
    <w:rsid w:val="00E849C9"/>
    <w:rsid w:val="00E95D2A"/>
    <w:rsid w:val="00E9752F"/>
    <w:rsid w:val="00EA6693"/>
    <w:rsid w:val="00EA687C"/>
    <w:rsid w:val="00EA762B"/>
    <w:rsid w:val="00EB21CF"/>
    <w:rsid w:val="00EB373C"/>
    <w:rsid w:val="00EB5405"/>
    <w:rsid w:val="00EB6190"/>
    <w:rsid w:val="00EB63D8"/>
    <w:rsid w:val="00EC5EC6"/>
    <w:rsid w:val="00ED0844"/>
    <w:rsid w:val="00ED1197"/>
    <w:rsid w:val="00ED2003"/>
    <w:rsid w:val="00ED301A"/>
    <w:rsid w:val="00ED7B61"/>
    <w:rsid w:val="00EE012E"/>
    <w:rsid w:val="00EE0BE1"/>
    <w:rsid w:val="00EE38ED"/>
    <w:rsid w:val="00EE4843"/>
    <w:rsid w:val="00EE48FB"/>
    <w:rsid w:val="00EE62E8"/>
    <w:rsid w:val="00EE6670"/>
    <w:rsid w:val="00EF20F0"/>
    <w:rsid w:val="00EF3AF7"/>
    <w:rsid w:val="00EF4382"/>
    <w:rsid w:val="00F01526"/>
    <w:rsid w:val="00F01BF0"/>
    <w:rsid w:val="00F03158"/>
    <w:rsid w:val="00F05ABB"/>
    <w:rsid w:val="00F07712"/>
    <w:rsid w:val="00F1317C"/>
    <w:rsid w:val="00F1343B"/>
    <w:rsid w:val="00F140AE"/>
    <w:rsid w:val="00F14AB6"/>
    <w:rsid w:val="00F22669"/>
    <w:rsid w:val="00F24EE5"/>
    <w:rsid w:val="00F255C3"/>
    <w:rsid w:val="00F264AC"/>
    <w:rsid w:val="00F270A4"/>
    <w:rsid w:val="00F309CA"/>
    <w:rsid w:val="00F31C61"/>
    <w:rsid w:val="00F3268D"/>
    <w:rsid w:val="00F33BCA"/>
    <w:rsid w:val="00F33FC1"/>
    <w:rsid w:val="00F3403C"/>
    <w:rsid w:val="00F345E4"/>
    <w:rsid w:val="00F34DC2"/>
    <w:rsid w:val="00F356F7"/>
    <w:rsid w:val="00F4174C"/>
    <w:rsid w:val="00F44E43"/>
    <w:rsid w:val="00F507D2"/>
    <w:rsid w:val="00F510A1"/>
    <w:rsid w:val="00F542CA"/>
    <w:rsid w:val="00F55DBD"/>
    <w:rsid w:val="00F60D6E"/>
    <w:rsid w:val="00F6135B"/>
    <w:rsid w:val="00F62C7A"/>
    <w:rsid w:val="00F663D1"/>
    <w:rsid w:val="00F6773D"/>
    <w:rsid w:val="00F70692"/>
    <w:rsid w:val="00F7221A"/>
    <w:rsid w:val="00F743BC"/>
    <w:rsid w:val="00F75CEB"/>
    <w:rsid w:val="00F80C99"/>
    <w:rsid w:val="00F80EEF"/>
    <w:rsid w:val="00F80FB5"/>
    <w:rsid w:val="00F81EBC"/>
    <w:rsid w:val="00F82884"/>
    <w:rsid w:val="00F83D03"/>
    <w:rsid w:val="00F83E17"/>
    <w:rsid w:val="00F861EE"/>
    <w:rsid w:val="00F87958"/>
    <w:rsid w:val="00F90538"/>
    <w:rsid w:val="00F9297A"/>
    <w:rsid w:val="00FA03B9"/>
    <w:rsid w:val="00FA6A59"/>
    <w:rsid w:val="00FA6DE0"/>
    <w:rsid w:val="00FA7790"/>
    <w:rsid w:val="00FA7961"/>
    <w:rsid w:val="00FA7F23"/>
    <w:rsid w:val="00FB255B"/>
    <w:rsid w:val="00FB28B3"/>
    <w:rsid w:val="00FB57DA"/>
    <w:rsid w:val="00FB5BCF"/>
    <w:rsid w:val="00FC1D5C"/>
    <w:rsid w:val="00FC2B63"/>
    <w:rsid w:val="00FC36DC"/>
    <w:rsid w:val="00FC3829"/>
    <w:rsid w:val="00FC5628"/>
    <w:rsid w:val="00FC591E"/>
    <w:rsid w:val="00FD2A20"/>
    <w:rsid w:val="00FD2CB3"/>
    <w:rsid w:val="00FD3353"/>
    <w:rsid w:val="00FD65B2"/>
    <w:rsid w:val="00FE1925"/>
    <w:rsid w:val="00FE31C9"/>
    <w:rsid w:val="00FE3BE1"/>
    <w:rsid w:val="00FE635F"/>
    <w:rsid w:val="00FF30CF"/>
    <w:rsid w:val="00FF3132"/>
    <w:rsid w:val="00FF345D"/>
    <w:rsid w:val="00FF451A"/>
    <w:rsid w:val="00FF6433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24BE75"/>
  <w15:docId w15:val="{F36AA265-BA8A-40D6-BDB7-4338ECF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character" w:styleId="Hyperlink">
    <w:name w:val="Hyperlink"/>
    <w:basedOn w:val="DefaultParagraphFont"/>
    <w:rsid w:val="005802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41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1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B16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C1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C16"/>
    <w:rPr>
      <w:rFonts w:ascii="Times New Roman" w:hAnsi="Times New Roman"/>
      <w:b/>
      <w:bCs/>
      <w:lang w:eastAsia="en-US"/>
    </w:rPr>
  </w:style>
  <w:style w:type="character" w:styleId="FollowedHyperlink">
    <w:name w:val="FollowedHyperlink"/>
    <w:basedOn w:val="DefaultParagraphFont"/>
    <w:rsid w:val="00666C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D42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42EE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42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2EE"/>
    <w:rPr>
      <w:rFonts w:ascii="Times New Roman" w:hAnsi="Times New Roman"/>
      <w:sz w:val="24"/>
      <w:szCs w:val="24"/>
      <w:lang w:eastAsia="en-US"/>
    </w:rPr>
  </w:style>
  <w:style w:type="character" w:customStyle="1" w:styleId="f3">
    <w:name w:val="f3"/>
    <w:basedOn w:val="DefaultParagraphFont"/>
    <w:rsid w:val="00DF166C"/>
  </w:style>
  <w:style w:type="paragraph" w:customStyle="1" w:styleId="Default">
    <w:name w:val="Default"/>
    <w:rsid w:val="008A2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A687C"/>
    <w:rPr>
      <w:rFonts w:ascii="Times New Roman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EE0B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E0BE1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EE0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tikk\AppData\Local\Microsoft\Windows\INetCache\Content.Outlook\3AFJFX13\janeli.tikk@agri.ee" TargetMode="External"/><Relationship Id="rId13" Type="http://schemas.openxmlformats.org/officeDocument/2006/relationships/hyperlink" Target="http://eur-lex.europa.eu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T/TXT/?uri=CELEX%3A52021XC0429%2801%29&amp;qid=16457869965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janes\Downloads\laura.ojava@agr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dri.janes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drek.mott@agri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86B6-FC20-4CA1-81CE-67F1DF58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2052</Words>
  <Characters>11904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Janeli Tikk</dc:creator>
  <cp:lastModifiedBy>Janeli Tikk</cp:lastModifiedBy>
  <cp:revision>3</cp:revision>
  <cp:lastPrinted>2018-06-13T08:08:00Z</cp:lastPrinted>
  <dcterms:created xsi:type="dcterms:W3CDTF">2022-03-18T11:55:00Z</dcterms:created>
  <dcterms:modified xsi:type="dcterms:W3CDTF">2022-03-18T13:21:00Z</dcterms:modified>
</cp:coreProperties>
</file>