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C9122" w14:textId="77777777" w:rsidR="004D33AE" w:rsidRDefault="004D33AE" w:rsidP="007C637F">
      <w:pPr>
        <w:keepNext/>
        <w:keepLines/>
        <w:suppressLineNumbers/>
        <w:autoSpaceDE/>
        <w:autoSpaceDN/>
        <w:jc w:val="both"/>
        <w:rPr>
          <w:rFonts w:eastAsia="SimSun"/>
          <w:b/>
          <w:bCs/>
          <w:kern w:val="1"/>
          <w:sz w:val="20"/>
          <w:szCs w:val="20"/>
          <w:lang w:eastAsia="zh-CN" w:bidi="hi-IN"/>
        </w:rPr>
      </w:pPr>
    </w:p>
    <w:p w14:paraId="7EE8B5D1" w14:textId="77777777" w:rsidR="00FA7F23" w:rsidRDefault="00FA7F23" w:rsidP="007C637F">
      <w:pPr>
        <w:jc w:val="both"/>
        <w:rPr>
          <w:b/>
          <w:bCs/>
        </w:rPr>
      </w:pPr>
      <w:r w:rsidRPr="00FA7F23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D63DE" wp14:editId="152D2D51">
                <wp:simplePos x="0" y="0"/>
                <wp:positionH relativeFrom="column">
                  <wp:posOffset>3852512</wp:posOffset>
                </wp:positionH>
                <wp:positionV relativeFrom="paragraph">
                  <wp:posOffset>51134</wp:posOffset>
                </wp:positionV>
                <wp:extent cx="2111876" cy="442762"/>
                <wp:effectExtent l="0" t="0" r="22225" b="14605"/>
                <wp:wrapNone/>
                <wp:docPr id="2" name="Tekstiväl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1876" cy="44276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1425E784" w14:textId="77777777" w:rsidR="00FA7F23" w:rsidRDefault="00FA7F23" w:rsidP="000F335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954E60" id="_x0000_t202" coordsize="21600,21600" o:spt="202" path="m,l,21600r21600,l21600,xe">
                <v:stroke joinstyle="miter"/>
                <v:path gradientshapeok="t" o:connecttype="rect"/>
              </v:shapetype>
              <v:shape id="Tekstiväli 2" o:spid="_x0000_s1026" type="#_x0000_t202" style="position:absolute;left:0;text-align:left;margin-left:303.35pt;margin-top:4.05pt;width:166.3pt;height:3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+JqXwIAANQEAAAOAAAAZHJzL2Uyb0RvYy54bWysVMtOGzEU3VfqP1jel0mmIdCICUpBqSoh&#10;QIKKtePxEKseX9d2MpN+T/+kP9ZjJ4FAu0LNwvF9+D7OPXfOzvvWsLXyQZOt+PBowJmykmptHyv+&#10;7X7+4ZSzEIWthSGrKr5RgZ9P378769xElbQkUyvPEMSGSecqvozRTYoiyKVqRTgipyyMDflWRIj+&#10;sai96BC9NUU5GIyLjnztPEkVArSXWyOf5vhNo2S8aZqgIjMVR20xnz6fi3QW0zMxefTCLbXclSHe&#10;UEUrtEXSp1CXIgq28vqvUK2WngI18UhSW1DTaKlyD+hmOHjVzd1SOJV7ATjBPcEU/l9Yeb2+9UzX&#10;FS85s6LFiO7V9xD1+vcvo1mZAOpcmMDvzsEz9p+px6D3+gBl6rtvfJv+0RGDHVBvnuBVfWQSynI4&#10;HJ6ejDmTsI1G5ck4hy+eXzsf4hdFLUuXinuML6Mq1lchohK47l1SskBG13NtTBY24cJ4thaYNAhS&#10;U8eZESFCWfF5/qWiEeLFM2NZV/Hxx+NBzvTCFt4SEgmMTQWpTL9d4QnDLVbpFvtFvwN2QfUGuHra&#10;UjM4Oddo/gqV3woPLgJK7Fe8wdEYQq20u3G2JP/zX/rkD4rAylkHblc8/FgJrwDIVwvyfBqORmkZ&#10;sjA6Pikh+EPL4tBiV+0FAdQhNtnJfE3+0eyvjaf2AWs4S1lhElYid8Xj/noRtxuHNZZqNstOoL8T&#10;8creOZlCJ8DSaO/7B+Hdbv4RzLmm/RaIySsabH3TS0uzVaRGZ44kgLeoYtpJwOrkue/WPO3moZy9&#10;nj9G0z8AAAD//wMAUEsDBBQABgAIAAAAIQDnsAQ23wAAAAgBAAAPAAAAZHJzL2Rvd25yZXYueG1s&#10;TI9RS8MwFIXfBf9DuIJvLtkKbdc1HUVwiKCw6YOPWXKXFpub0mRb/ffGJ308nMM536m3sxvYBafQ&#10;e5KwXAhgSNqbnqyEj/enhxJYiIqMGjyhhG8MsG1ub2pVGX+lPV4O0bJUQqFSEroYx4rzoDt0Kiz8&#10;iJS8k5+ciklOlptJXVO5G/hKiJw71VNa6NSIjx3qr8PZSXjZ79TK7p7Fa/YZ2zcbdRsmLeX93dxu&#10;gEWc418YfvETOjSJ6ejPZAIbJOQiL1JUQrkElvx1ts6AHSUURQm8qfn/A80PAAAA//8DAFBLAQIt&#10;ABQABgAIAAAAIQC2gziS/gAAAOEBAAATAAAAAAAAAAAAAAAAAAAAAABbQ29udGVudF9UeXBlc10u&#10;eG1sUEsBAi0AFAAGAAgAAAAhADj9If/WAAAAlAEAAAsAAAAAAAAAAAAAAAAALwEAAF9yZWxzLy5y&#10;ZWxzUEsBAi0AFAAGAAgAAAAhAKGD4mpfAgAA1AQAAA4AAAAAAAAAAAAAAAAALgIAAGRycy9lMm9E&#10;b2MueG1sUEsBAi0AFAAGAAgAAAAhAOewBDbfAAAACAEAAA8AAAAAAAAAAAAAAAAAuQQAAGRycy9k&#10;b3ducmV2LnhtbFBLBQYAAAAABAAEAPMAAADFBQAAAAA=&#10;" fillcolor="window" strokecolor="window" strokeweight=".5pt">
                <v:textbox>
                  <w:txbxContent>
                    <w:p w:rsidR="00FA7F23" w:rsidRDefault="00FA7F23" w:rsidP="000F335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94057E" w14:textId="77777777" w:rsidR="0060581A" w:rsidRDefault="0060581A" w:rsidP="007C637F">
      <w:pPr>
        <w:jc w:val="both"/>
        <w:rPr>
          <w:b/>
          <w:bCs/>
        </w:rPr>
      </w:pPr>
    </w:p>
    <w:p w14:paraId="09A38247" w14:textId="77777777" w:rsidR="0060581A" w:rsidRDefault="0060581A" w:rsidP="007C637F">
      <w:pPr>
        <w:jc w:val="both"/>
        <w:rPr>
          <w:b/>
          <w:bCs/>
        </w:rPr>
      </w:pPr>
    </w:p>
    <w:p w14:paraId="60C9868D" w14:textId="77777777" w:rsidR="005560E8" w:rsidRDefault="005560E8" w:rsidP="002F733E">
      <w:pPr>
        <w:jc w:val="both"/>
        <w:rPr>
          <w:b/>
          <w:bCs/>
        </w:rPr>
      </w:pPr>
    </w:p>
    <w:p w14:paraId="2E3BC83C" w14:textId="77777777" w:rsidR="002D6483" w:rsidRPr="00292B1F" w:rsidRDefault="002D6483" w:rsidP="002F733E">
      <w:pPr>
        <w:jc w:val="center"/>
        <w:rPr>
          <w:b/>
          <w:bCs/>
        </w:rPr>
      </w:pPr>
      <w:r w:rsidRPr="00292B1F">
        <w:rPr>
          <w:b/>
          <w:bCs/>
        </w:rPr>
        <w:t>SELETUSKIRI</w:t>
      </w:r>
    </w:p>
    <w:p w14:paraId="467D66AF" w14:textId="77777777" w:rsidR="002D6483" w:rsidRPr="00292B1F" w:rsidRDefault="00407015" w:rsidP="002F733E">
      <w:pPr>
        <w:jc w:val="both"/>
        <w:rPr>
          <w:b/>
          <w:bCs/>
        </w:rPr>
      </w:pPr>
      <w:r w:rsidRPr="00292B1F">
        <w:rPr>
          <w:b/>
          <w:bCs/>
        </w:rPr>
        <w:t>maaeluministri määruse „Põll</w:t>
      </w:r>
      <w:r w:rsidR="00AA6E34" w:rsidRPr="00292B1F">
        <w:rPr>
          <w:b/>
          <w:bCs/>
        </w:rPr>
        <w:t xml:space="preserve">umajandusministri 14. jaanuari </w:t>
      </w:r>
      <w:r w:rsidRPr="00292B1F">
        <w:rPr>
          <w:b/>
          <w:bCs/>
        </w:rPr>
        <w:t>2015.</w:t>
      </w:r>
      <w:r w:rsidR="003F2CE1" w:rsidRPr="00292B1F">
        <w:rPr>
          <w:b/>
          <w:bCs/>
        </w:rPr>
        <w:t xml:space="preserve"> </w:t>
      </w:r>
      <w:r w:rsidRPr="00292B1F">
        <w:rPr>
          <w:b/>
          <w:bCs/>
        </w:rPr>
        <w:t>a määruse nr 4 „Maa heas põllumajandus- ja keskkonnaseisundis hoidmise nõuded“ muutmine“ eelnõu juurde</w:t>
      </w:r>
    </w:p>
    <w:p w14:paraId="53D92CF4" w14:textId="77777777" w:rsidR="00FF108D" w:rsidRPr="00292B1F" w:rsidRDefault="00FF108D" w:rsidP="002F733E">
      <w:pPr>
        <w:jc w:val="both"/>
        <w:rPr>
          <w:b/>
          <w:bCs/>
        </w:rPr>
      </w:pPr>
    </w:p>
    <w:p w14:paraId="4D9E5D43" w14:textId="77777777" w:rsidR="002D6483" w:rsidRPr="00292B1F" w:rsidRDefault="002D6483" w:rsidP="002F733E">
      <w:pPr>
        <w:jc w:val="both"/>
        <w:rPr>
          <w:b/>
          <w:bCs/>
        </w:rPr>
      </w:pPr>
      <w:r w:rsidRPr="00292B1F">
        <w:rPr>
          <w:b/>
          <w:bCs/>
        </w:rPr>
        <w:t>1. Sissejuhatus</w:t>
      </w:r>
    </w:p>
    <w:p w14:paraId="4F6CBE43" w14:textId="77777777" w:rsidR="002D6483" w:rsidRPr="00292B1F" w:rsidRDefault="002D6483" w:rsidP="002F733E">
      <w:pPr>
        <w:jc w:val="both"/>
        <w:rPr>
          <w:b/>
          <w:bCs/>
        </w:rPr>
      </w:pPr>
    </w:p>
    <w:p w14:paraId="19CBF1E6" w14:textId="77777777" w:rsidR="00117EC8" w:rsidRPr="00292B1F" w:rsidRDefault="00117EC8" w:rsidP="00117EC8">
      <w:pPr>
        <w:jc w:val="both"/>
      </w:pPr>
      <w:r w:rsidRPr="00292B1F">
        <w:t>Määrus kehtestatakse Euroopa Liidu ühise põllumajanduspoliitika rakendamise seaduse</w:t>
      </w:r>
      <w:r w:rsidR="003F2CE1" w:rsidRPr="00292B1F">
        <w:t xml:space="preserve"> </w:t>
      </w:r>
      <w:r w:rsidRPr="00292B1F">
        <w:t>§ 32 lõike</w:t>
      </w:r>
      <w:r w:rsidR="007868E7" w:rsidRPr="00292B1F">
        <w:t> </w:t>
      </w:r>
      <w:r w:rsidRPr="00292B1F">
        <w:t>3 ning Euroopa Parlamendi ja nõukogu määruse (EL) nr 1306/2013 ühise põllumajanduspoliitika rahastamise, haldamise ja seire kohta ning millega tunnistatakse kehtetuks nõukogu määrused (EMÜ) nr 352/78, (EÜ) nr 165/94, (EÜ) nr 2799/98, (EÜ) nr</w:t>
      </w:r>
      <w:r w:rsidR="007868E7" w:rsidRPr="00292B1F">
        <w:t> </w:t>
      </w:r>
      <w:r w:rsidRPr="00292B1F">
        <w:t>814/2000, (EÜ) nr 1290/2005 ja (EÜ) nr 485/2008 (ELT L 347, 20.12.2013, lk 549–607) artikli</w:t>
      </w:r>
      <w:r w:rsidR="007868E7" w:rsidRPr="00292B1F">
        <w:t> </w:t>
      </w:r>
      <w:r w:rsidRPr="00292B1F">
        <w:t>94 alusel.</w:t>
      </w:r>
    </w:p>
    <w:p w14:paraId="400BCB10" w14:textId="77777777" w:rsidR="00BB7006" w:rsidRPr="00292B1F" w:rsidRDefault="00BB7006" w:rsidP="00117EC8">
      <w:pPr>
        <w:jc w:val="both"/>
      </w:pPr>
    </w:p>
    <w:p w14:paraId="1F79FBBB" w14:textId="503FAE24" w:rsidR="00BB7006" w:rsidRPr="00292B1F" w:rsidRDefault="00BA2A6E" w:rsidP="00117EC8">
      <w:pPr>
        <w:jc w:val="both"/>
      </w:pPr>
      <w:r w:rsidRPr="00BA2A6E">
        <w:t>Põllumajandusminis</w:t>
      </w:r>
      <w:r>
        <w:t>tri 14. jaanuari 2015. a määrust</w:t>
      </w:r>
      <w:r w:rsidRPr="00BA2A6E">
        <w:t xml:space="preserve"> nr 4 „Maa heas põllumajandus- ja keskkonnaseisundis hoidmise nõuded</w:t>
      </w:r>
      <w:r w:rsidR="008A77D1">
        <w:t>“</w:t>
      </w:r>
      <w:r w:rsidRPr="00BA2A6E">
        <w:t xml:space="preserve"> </w:t>
      </w:r>
      <w:r>
        <w:t xml:space="preserve">(edaspidi </w:t>
      </w:r>
      <w:r w:rsidRPr="00BA2A6E">
        <w:rPr>
          <w:i/>
        </w:rPr>
        <w:t>määrus</w:t>
      </w:r>
      <w:r>
        <w:t>)</w:t>
      </w:r>
      <w:r w:rsidR="00BB7006" w:rsidRPr="00292B1F">
        <w:t xml:space="preserve"> muu</w:t>
      </w:r>
      <w:r w:rsidR="00730F9D" w:rsidRPr="00292B1F">
        <w:t>detakse</w:t>
      </w:r>
      <w:r w:rsidR="00BB7006" w:rsidRPr="00292B1F">
        <w:t xml:space="preserve"> 20</w:t>
      </w:r>
      <w:r w:rsidR="00817993" w:rsidRPr="00292B1F">
        <w:t>21</w:t>
      </w:r>
      <w:r w:rsidR="00BB7006" w:rsidRPr="00292B1F">
        <w:t xml:space="preserve">. aasta </w:t>
      </w:r>
      <w:r w:rsidR="006644CE">
        <w:t>oktoobris</w:t>
      </w:r>
      <w:r w:rsidR="00BB7006" w:rsidRPr="00292B1F">
        <w:t xml:space="preserve"> </w:t>
      </w:r>
      <w:r w:rsidR="00730F9D" w:rsidRPr="00292B1F">
        <w:t>jõustu</w:t>
      </w:r>
      <w:r w:rsidR="006644CE">
        <w:t>nud</w:t>
      </w:r>
      <w:r w:rsidR="00BB7006" w:rsidRPr="00292B1F">
        <w:t xml:space="preserve"> veeseaduse</w:t>
      </w:r>
      <w:r w:rsidR="002A60FB" w:rsidRPr="00292B1F">
        <w:t xml:space="preserve"> </w:t>
      </w:r>
      <w:r w:rsidR="00F0763F" w:rsidRPr="00292B1F">
        <w:t xml:space="preserve">muudatuse </w:t>
      </w:r>
      <w:r w:rsidR="00730F9D" w:rsidRPr="00292B1F">
        <w:t>tõttu</w:t>
      </w:r>
      <w:r w:rsidR="00BB7006" w:rsidRPr="00292B1F">
        <w:t>.</w:t>
      </w:r>
      <w:r w:rsidR="00102000" w:rsidRPr="00292B1F">
        <w:t xml:space="preserve"> </w:t>
      </w:r>
      <w:r w:rsidR="00260967" w:rsidRPr="00292B1F">
        <w:t>T</w:t>
      </w:r>
      <w:r w:rsidR="00102000" w:rsidRPr="00292B1F">
        <w:t>äpsustatakse veekogude puhverribade ulatus</w:t>
      </w:r>
      <w:r w:rsidR="006644CE">
        <w:t>t puudutavate</w:t>
      </w:r>
      <w:r w:rsidR="00102000" w:rsidRPr="00292B1F">
        <w:t xml:space="preserve"> nõu</w:t>
      </w:r>
      <w:r w:rsidR="006644CE">
        <w:t>ete sõnastust</w:t>
      </w:r>
      <w:r w:rsidR="00102000" w:rsidRPr="00292B1F">
        <w:t>.</w:t>
      </w:r>
      <w:r w:rsidR="00E131ED">
        <w:t xml:space="preserve"> </w:t>
      </w:r>
      <w:r w:rsidR="00E131ED" w:rsidRPr="00E3103D">
        <w:t xml:space="preserve">Puhverribade </w:t>
      </w:r>
      <w:r w:rsidR="000C52F2" w:rsidRPr="00E3103D">
        <w:t xml:space="preserve">ulatuse </w:t>
      </w:r>
      <w:r w:rsidR="00E131ED" w:rsidRPr="00E3103D">
        <w:t>nõu</w:t>
      </w:r>
      <w:r w:rsidR="000C52F2" w:rsidRPr="00E3103D">
        <w:t>ded</w:t>
      </w:r>
      <w:r w:rsidR="00E131ED" w:rsidRPr="00E3103D">
        <w:t xml:space="preserve"> kohaldu</w:t>
      </w:r>
      <w:r w:rsidR="000C52F2" w:rsidRPr="00E3103D">
        <w:t>vad</w:t>
      </w:r>
      <w:r w:rsidR="00E131ED" w:rsidRPr="00E3103D">
        <w:t xml:space="preserve"> umbkaud</w:t>
      </w:r>
      <w:r w:rsidR="00991815">
        <w:t>u</w:t>
      </w:r>
      <w:r w:rsidR="00E131ED" w:rsidRPr="00E3103D">
        <w:t xml:space="preserve"> 4000 </w:t>
      </w:r>
      <w:r w:rsidR="002A152E">
        <w:t xml:space="preserve">toetuse </w:t>
      </w:r>
      <w:r w:rsidR="00E131ED" w:rsidRPr="00E3103D">
        <w:t>taotlejale</w:t>
      </w:r>
      <w:r w:rsidR="00E131ED" w:rsidRPr="002A152E">
        <w:t>.</w:t>
      </w:r>
      <w:r w:rsidR="00E131ED">
        <w:t xml:space="preserve"> </w:t>
      </w:r>
      <w:r w:rsidR="00F0763F" w:rsidRPr="00292B1F">
        <w:t xml:space="preserve">Lisaks </w:t>
      </w:r>
      <w:r w:rsidR="00102000" w:rsidRPr="00292B1F">
        <w:t xml:space="preserve">muudetakse määrust </w:t>
      </w:r>
      <w:r w:rsidR="0003237F" w:rsidRPr="006644CE">
        <w:t>tulenevalt</w:t>
      </w:r>
      <w:r w:rsidR="0003237F" w:rsidRPr="00292B1F" w:rsidDel="006644CE">
        <w:t xml:space="preserve"> </w:t>
      </w:r>
      <w:r w:rsidR="006644CE" w:rsidRPr="006644CE">
        <w:t>Euroopa Komisjoni põllumajanduse ja maaelu arengu peadirektoraadi ametlikus teatises toodud tähelepanekust, mis puudutas alla 3-kuupmeetriste naftasaaduste mahutite kontrolli tõhustamise vajadust ja nimetatud mahutite puhul ennetusmeetmete kehtestamist</w:t>
      </w:r>
      <w:r w:rsidR="006644CE" w:rsidRPr="005C19A8">
        <w:t>.</w:t>
      </w:r>
      <w:r w:rsidR="00E131ED" w:rsidRPr="005C19A8">
        <w:t xml:space="preserve"> Otseselt </w:t>
      </w:r>
      <w:r w:rsidR="002A152E" w:rsidRPr="005C19A8">
        <w:t>ei ole</w:t>
      </w:r>
      <w:r w:rsidR="00E131ED" w:rsidRPr="005C19A8">
        <w:t xml:space="preserve"> võimalik välja tuua, kui paljusid t</w:t>
      </w:r>
      <w:r w:rsidR="00FE0CF5" w:rsidRPr="005C19A8">
        <w:t>oe</w:t>
      </w:r>
      <w:r w:rsidR="00E131ED" w:rsidRPr="005C19A8">
        <w:t>tus</w:t>
      </w:r>
      <w:r w:rsidR="002A152E" w:rsidRPr="005C19A8">
        <w:t xml:space="preserve">e </w:t>
      </w:r>
      <w:r w:rsidR="00E131ED" w:rsidRPr="005C19A8">
        <w:t>taotlejaid</w:t>
      </w:r>
      <w:r w:rsidR="00C0660D" w:rsidRPr="005C19A8">
        <w:t xml:space="preserve"> alla 3-</w:t>
      </w:r>
      <w:r w:rsidR="00E131ED" w:rsidRPr="005C19A8">
        <w:t>kuupmeetris</w:t>
      </w:r>
      <w:r w:rsidR="002A152E" w:rsidRPr="005C19A8">
        <w:t>te</w:t>
      </w:r>
      <w:r w:rsidR="00E131ED" w:rsidRPr="005C19A8">
        <w:t xml:space="preserve"> naftasaaduste mahuti</w:t>
      </w:r>
      <w:r w:rsidR="002A152E" w:rsidRPr="005C19A8">
        <w:t>te nõue</w:t>
      </w:r>
      <w:r w:rsidR="00E131ED" w:rsidRPr="005C19A8">
        <w:t xml:space="preserve"> puudut</w:t>
      </w:r>
      <w:r w:rsidR="00C0660D" w:rsidRPr="005C19A8">
        <w:t>a</w:t>
      </w:r>
      <w:r w:rsidR="002A152E" w:rsidRPr="005C19A8">
        <w:t>b</w:t>
      </w:r>
      <w:r w:rsidR="00E131ED" w:rsidRPr="005C19A8">
        <w:t xml:space="preserve">, kuid üle </w:t>
      </w:r>
      <w:r w:rsidR="00C0660D" w:rsidRPr="005C19A8">
        <w:t>3-</w:t>
      </w:r>
      <w:r w:rsidR="00E131ED" w:rsidRPr="005C19A8">
        <w:t xml:space="preserve">kuupmeetriste naftasaaduste </w:t>
      </w:r>
      <w:r w:rsidR="00C0660D" w:rsidRPr="005C19A8">
        <w:t>hoid</w:t>
      </w:r>
      <w:r w:rsidR="00E131ED" w:rsidRPr="005C19A8">
        <w:t>misehitiste nõue rakendus 2021</w:t>
      </w:r>
      <w:r w:rsidR="002A152E" w:rsidRPr="005C19A8">
        <w:t>.</w:t>
      </w:r>
      <w:r w:rsidR="00E131ED" w:rsidRPr="005C19A8">
        <w:t xml:space="preserve"> aastal 466 taotlejale. 2021. aastal </w:t>
      </w:r>
      <w:r w:rsidR="005D418C">
        <w:t xml:space="preserve">taotles </w:t>
      </w:r>
      <w:r w:rsidR="00E131ED" w:rsidRPr="005C19A8">
        <w:t>pindala</w:t>
      </w:r>
      <w:r w:rsidR="005C19A8" w:rsidRPr="005C19A8">
        <w:t>- ja</w:t>
      </w:r>
      <w:r w:rsidR="00E131ED" w:rsidRPr="005C19A8">
        <w:t xml:space="preserve"> looma</w:t>
      </w:r>
      <w:r w:rsidR="005C19A8" w:rsidRPr="005C19A8">
        <w:t>toetusi</w:t>
      </w:r>
      <w:r w:rsidR="00E131ED" w:rsidRPr="005C19A8">
        <w:t xml:space="preserve"> </w:t>
      </w:r>
      <w:r w:rsidR="005C19A8" w:rsidRPr="005C19A8">
        <w:t>ning</w:t>
      </w:r>
      <w:r w:rsidR="00E131ED" w:rsidRPr="005C19A8">
        <w:t xml:space="preserve"> N</w:t>
      </w:r>
      <w:bookmarkStart w:id="0" w:name="_GoBack"/>
      <w:bookmarkEnd w:id="0"/>
      <w:r w:rsidR="00E131ED" w:rsidRPr="005C19A8">
        <w:t>atura metsatoetus</w:t>
      </w:r>
      <w:r w:rsidR="005C19A8" w:rsidRPr="005C19A8">
        <w:t>t</w:t>
      </w:r>
      <w:r w:rsidR="00E131ED" w:rsidRPr="005C19A8">
        <w:t xml:space="preserve"> </w:t>
      </w:r>
      <w:r w:rsidR="005D418C">
        <w:t xml:space="preserve">kokku </w:t>
      </w:r>
      <w:r w:rsidR="00E131ED" w:rsidRPr="005C19A8">
        <w:t>umbkaud</w:t>
      </w:r>
      <w:r w:rsidR="00991815">
        <w:t>u</w:t>
      </w:r>
      <w:r w:rsidR="00E131ED" w:rsidRPr="005C19A8">
        <w:t xml:space="preserve"> 17 000 toetus</w:t>
      </w:r>
      <w:r w:rsidR="005C19A8" w:rsidRPr="005C19A8">
        <w:t xml:space="preserve">e </w:t>
      </w:r>
      <w:r w:rsidR="00E131ED" w:rsidRPr="005C19A8">
        <w:t>taotlejat.</w:t>
      </w:r>
    </w:p>
    <w:p w14:paraId="25BB0363" w14:textId="77777777" w:rsidR="00FF108D" w:rsidRPr="00292B1F" w:rsidRDefault="00FF108D" w:rsidP="00117EC8">
      <w:pPr>
        <w:jc w:val="both"/>
      </w:pPr>
    </w:p>
    <w:p w14:paraId="127DA743" w14:textId="77777777" w:rsidR="00117EC8" w:rsidRPr="00292B1F" w:rsidRDefault="00117EC8" w:rsidP="00730F9D">
      <w:pPr>
        <w:pStyle w:val="Default"/>
        <w:jc w:val="both"/>
      </w:pPr>
      <w:r w:rsidRPr="00292B1F">
        <w:t xml:space="preserve">Määruse muutmise eelnõu on ette valmistanud ja seletuskirja on koostanud Maaeluministeeriumi maakasutuspoliitika osakonna peaspetsialist Siim Suure (625 6118, siim.suure@agri.ee). Juriidilise ekspertiisi eelnõule on teinud </w:t>
      </w:r>
      <w:r w:rsidR="00730F9D" w:rsidRPr="00292B1F">
        <w:t xml:space="preserve">Maaeluministeeriumi </w:t>
      </w:r>
      <w:r w:rsidRPr="00292B1F">
        <w:t>õigusosakonna nõunik</w:t>
      </w:r>
      <w:r w:rsidR="00730F9D" w:rsidRPr="00292B1F">
        <w:t xml:space="preserve"> Ketlyn Roze (625 6127, ketlyn.roze@agri.ee). Keeleliselt toimetas eelnõu Maaeluministeeriumi õigusosakonna peaspetsialist Laura Ojava (tel 625 6523, laura.ojava@agri.ee).</w:t>
      </w:r>
    </w:p>
    <w:p w14:paraId="798674F3" w14:textId="77777777" w:rsidR="00FF108D" w:rsidRPr="00292B1F" w:rsidRDefault="00FF108D" w:rsidP="002F733E">
      <w:pPr>
        <w:jc w:val="both"/>
        <w:rPr>
          <w:color w:val="000000"/>
          <w:lang w:eastAsia="et-EE"/>
        </w:rPr>
      </w:pPr>
    </w:p>
    <w:p w14:paraId="364196A6" w14:textId="77777777" w:rsidR="002D6483" w:rsidRPr="00292B1F" w:rsidRDefault="002D6483" w:rsidP="002F733E">
      <w:pPr>
        <w:jc w:val="both"/>
        <w:rPr>
          <w:b/>
          <w:bCs/>
        </w:rPr>
      </w:pPr>
      <w:r w:rsidRPr="00292B1F">
        <w:rPr>
          <w:b/>
          <w:bCs/>
        </w:rPr>
        <w:t>2. Eelnõu sisu ja võrdlev analüüs</w:t>
      </w:r>
    </w:p>
    <w:p w14:paraId="0D3D2843" w14:textId="77777777" w:rsidR="002D6483" w:rsidRPr="00292B1F" w:rsidRDefault="002D6483" w:rsidP="002F733E">
      <w:pPr>
        <w:jc w:val="both"/>
        <w:rPr>
          <w:b/>
          <w:bCs/>
        </w:rPr>
      </w:pPr>
    </w:p>
    <w:p w14:paraId="7E3E5087" w14:textId="77777777" w:rsidR="00D4709E" w:rsidRPr="0067621C" w:rsidRDefault="00E85196" w:rsidP="002F733E">
      <w:pPr>
        <w:jc w:val="both"/>
        <w:rPr>
          <w:bCs/>
        </w:rPr>
      </w:pPr>
      <w:r w:rsidRPr="00292B1F">
        <w:rPr>
          <w:b/>
          <w:bCs/>
        </w:rPr>
        <w:t>Eelnõu pun</w:t>
      </w:r>
      <w:r w:rsidR="004D638D" w:rsidRPr="00292B1F">
        <w:rPr>
          <w:b/>
          <w:bCs/>
        </w:rPr>
        <w:t>kti</w:t>
      </w:r>
      <w:r w:rsidR="00952291" w:rsidRPr="00292B1F">
        <w:rPr>
          <w:b/>
          <w:bCs/>
        </w:rPr>
        <w:t>ga</w:t>
      </w:r>
      <w:r w:rsidR="00434C35" w:rsidRPr="00292B1F">
        <w:rPr>
          <w:b/>
          <w:bCs/>
        </w:rPr>
        <w:t xml:space="preserve"> </w:t>
      </w:r>
      <w:r w:rsidRPr="00292B1F">
        <w:rPr>
          <w:b/>
          <w:bCs/>
        </w:rPr>
        <w:t>1</w:t>
      </w:r>
      <w:r w:rsidR="00434C35" w:rsidRPr="00292B1F">
        <w:rPr>
          <w:bCs/>
        </w:rPr>
        <w:t xml:space="preserve"> </w:t>
      </w:r>
      <w:r w:rsidR="00952291" w:rsidRPr="00292B1F">
        <w:rPr>
          <w:bCs/>
        </w:rPr>
        <w:t>sõnastatakse uuesti määruse § 1 lõi</w:t>
      </w:r>
      <w:r w:rsidR="00BA2A6E">
        <w:rPr>
          <w:bCs/>
        </w:rPr>
        <w:t>k</w:t>
      </w:r>
      <w:r w:rsidR="00952291" w:rsidRPr="00292B1F">
        <w:rPr>
          <w:bCs/>
        </w:rPr>
        <w:t xml:space="preserve">e </w:t>
      </w:r>
      <w:r w:rsidR="00C03C1E" w:rsidRPr="00292B1F">
        <w:rPr>
          <w:bCs/>
        </w:rPr>
        <w:t>1</w:t>
      </w:r>
      <w:r w:rsidR="00BA2A6E">
        <w:rPr>
          <w:bCs/>
        </w:rPr>
        <w:t xml:space="preserve"> punktid 1 ja 2</w:t>
      </w:r>
      <w:r w:rsidR="008A77D1">
        <w:rPr>
          <w:bCs/>
        </w:rPr>
        <w:t>, täpsustades nimetatud</w:t>
      </w:r>
      <w:r w:rsidR="00E77D30" w:rsidRPr="00292B1F">
        <w:rPr>
          <w:bCs/>
        </w:rPr>
        <w:t xml:space="preserve"> punktide</w:t>
      </w:r>
      <w:r w:rsidR="00C03C1E" w:rsidRPr="00292B1F">
        <w:rPr>
          <w:bCs/>
        </w:rPr>
        <w:t xml:space="preserve"> sõnastust. Kehtiva sõnastuse järgi on praktikas valesti aru saadud veekogude </w:t>
      </w:r>
      <w:r w:rsidR="00E77D30" w:rsidRPr="00292B1F">
        <w:rPr>
          <w:bCs/>
        </w:rPr>
        <w:t xml:space="preserve">puhverriba </w:t>
      </w:r>
      <w:r w:rsidR="00C03C1E" w:rsidRPr="00292B1F">
        <w:rPr>
          <w:bCs/>
        </w:rPr>
        <w:t>ulatusest.</w:t>
      </w:r>
      <w:r w:rsidR="00292B1F" w:rsidRPr="00292B1F">
        <w:rPr>
          <w:bCs/>
        </w:rPr>
        <w:t xml:space="preserve"> </w:t>
      </w:r>
      <w:r w:rsidR="00CB515B">
        <w:rPr>
          <w:bCs/>
        </w:rPr>
        <w:t>Näiteks, k</w:t>
      </w:r>
      <w:r w:rsidR="0067621C">
        <w:rPr>
          <w:bCs/>
        </w:rPr>
        <w:t>ui</w:t>
      </w:r>
      <w:r w:rsidR="00292B1F" w:rsidRPr="0067621C">
        <w:rPr>
          <w:bCs/>
        </w:rPr>
        <w:t xml:space="preserve"> </w:t>
      </w:r>
      <w:r w:rsidR="0003237F">
        <w:rPr>
          <w:bCs/>
        </w:rPr>
        <w:t>ühekorraga</w:t>
      </w:r>
      <w:r w:rsidR="0003237F" w:rsidRPr="0067621C">
        <w:rPr>
          <w:bCs/>
        </w:rPr>
        <w:t xml:space="preserve"> </w:t>
      </w:r>
      <w:r w:rsidR="00292B1F" w:rsidRPr="0067621C">
        <w:rPr>
          <w:bCs/>
        </w:rPr>
        <w:t xml:space="preserve">on tegu </w:t>
      </w:r>
      <w:r w:rsidR="00CB515B" w:rsidRPr="00CB515B">
        <w:rPr>
          <w:rFonts w:eastAsia="SimSun"/>
          <w:kern w:val="1"/>
          <w:lang w:eastAsia="zh-CN" w:bidi="hi-IN"/>
        </w:rPr>
        <w:t>maaparandussüsteemi avatud eesvooluna</w:t>
      </w:r>
      <w:r w:rsidR="00CB515B">
        <w:rPr>
          <w:rFonts w:eastAsia="SimSun"/>
          <w:kern w:val="1"/>
          <w:lang w:eastAsia="zh-CN" w:bidi="hi-IN"/>
        </w:rPr>
        <w:t xml:space="preserve"> kasutatava</w:t>
      </w:r>
      <w:r w:rsidR="00CB515B" w:rsidRPr="00CB515B">
        <w:rPr>
          <w:rFonts w:eastAsia="SimSun"/>
          <w:kern w:val="1"/>
          <w:lang w:eastAsia="zh-CN" w:bidi="hi-IN"/>
        </w:rPr>
        <w:t xml:space="preserve"> kraavi</w:t>
      </w:r>
      <w:r w:rsidR="00D1696B">
        <w:rPr>
          <w:rFonts w:eastAsia="SimSun"/>
          <w:kern w:val="1"/>
          <w:lang w:eastAsia="zh-CN" w:bidi="hi-IN"/>
        </w:rPr>
        <w:t xml:space="preserve"> või peakraavi</w:t>
      </w:r>
      <w:r w:rsidR="00292B1F" w:rsidRPr="0067621C">
        <w:rPr>
          <w:bCs/>
        </w:rPr>
        <w:t xml:space="preserve"> ja ojaga, siis rakendub 10 m</w:t>
      </w:r>
      <w:r w:rsidR="00E76010">
        <w:rPr>
          <w:bCs/>
        </w:rPr>
        <w:t>eetri</w:t>
      </w:r>
      <w:r w:rsidR="00292B1F" w:rsidRPr="0067621C">
        <w:rPr>
          <w:bCs/>
        </w:rPr>
        <w:t xml:space="preserve"> laiu</w:t>
      </w:r>
      <w:r w:rsidR="00CB515B">
        <w:rPr>
          <w:bCs/>
        </w:rPr>
        <w:t>se</w:t>
      </w:r>
      <w:r w:rsidR="00292B1F" w:rsidRPr="0067621C">
        <w:rPr>
          <w:bCs/>
        </w:rPr>
        <w:t xml:space="preserve"> puhverriba nõue, olenemata </w:t>
      </w:r>
      <w:r w:rsidR="00E83B9C">
        <w:rPr>
          <w:bCs/>
        </w:rPr>
        <w:t>oja</w:t>
      </w:r>
      <w:r w:rsidR="00E83B9C" w:rsidRPr="0067621C">
        <w:rPr>
          <w:bCs/>
        </w:rPr>
        <w:t xml:space="preserve"> </w:t>
      </w:r>
      <w:r w:rsidR="00292B1F" w:rsidRPr="0067621C">
        <w:rPr>
          <w:bCs/>
        </w:rPr>
        <w:t>valgala suurusest.</w:t>
      </w:r>
      <w:r w:rsidR="008158FA">
        <w:rPr>
          <w:bCs/>
        </w:rPr>
        <w:t xml:space="preserve"> </w:t>
      </w:r>
      <w:r w:rsidR="008158FA" w:rsidRPr="008158FA">
        <w:rPr>
          <w:bCs/>
        </w:rPr>
        <w:t>Toetuse taotleja</w:t>
      </w:r>
      <w:r w:rsidR="00CB515B">
        <w:rPr>
          <w:bCs/>
        </w:rPr>
        <w:t xml:space="preserve"> peab</w:t>
      </w:r>
      <w:r w:rsidR="008158FA" w:rsidRPr="008158FA">
        <w:rPr>
          <w:bCs/>
        </w:rPr>
        <w:t xml:space="preserve"> vaa</w:t>
      </w:r>
      <w:r w:rsidR="00CB515B">
        <w:rPr>
          <w:bCs/>
        </w:rPr>
        <w:t>tama</w:t>
      </w:r>
      <w:r w:rsidR="008158FA" w:rsidRPr="008158FA">
        <w:rPr>
          <w:bCs/>
        </w:rPr>
        <w:t xml:space="preserve"> keskkonnaregistrist, kas veekogutüü</w:t>
      </w:r>
      <w:r w:rsidR="00CB515B">
        <w:rPr>
          <w:bCs/>
        </w:rPr>
        <w:t>biks</w:t>
      </w:r>
      <w:r w:rsidR="008158FA" w:rsidRPr="008158FA">
        <w:rPr>
          <w:bCs/>
        </w:rPr>
        <w:t xml:space="preserve"> on </w:t>
      </w:r>
      <w:r w:rsidR="00CB515B">
        <w:rPr>
          <w:bCs/>
        </w:rPr>
        <w:t xml:space="preserve">märgitud </w:t>
      </w:r>
      <w:r w:rsidR="008158FA" w:rsidRPr="008158FA">
        <w:rPr>
          <w:bCs/>
        </w:rPr>
        <w:t>kraav</w:t>
      </w:r>
      <w:r w:rsidR="00D1696B">
        <w:rPr>
          <w:bCs/>
        </w:rPr>
        <w:t>, peakraav</w:t>
      </w:r>
      <w:r w:rsidR="00CB515B">
        <w:rPr>
          <w:bCs/>
        </w:rPr>
        <w:t xml:space="preserve"> või oja</w:t>
      </w:r>
      <w:r w:rsidR="008158FA" w:rsidRPr="008158FA">
        <w:rPr>
          <w:bCs/>
        </w:rPr>
        <w:t xml:space="preserve">, kuna mõningate kraavide veekogutüüp võib olla </w:t>
      </w:r>
      <w:r w:rsidR="00CB515B">
        <w:rPr>
          <w:bCs/>
        </w:rPr>
        <w:t xml:space="preserve">ka </w:t>
      </w:r>
      <w:r w:rsidR="008158FA" w:rsidRPr="008158FA">
        <w:rPr>
          <w:bCs/>
        </w:rPr>
        <w:t xml:space="preserve">oja. Juhul, kui keskkonnaregistris on </w:t>
      </w:r>
      <w:r w:rsidR="00D1696B">
        <w:rPr>
          <w:bCs/>
        </w:rPr>
        <w:t xml:space="preserve">nimetatud </w:t>
      </w:r>
      <w:r w:rsidR="008158FA" w:rsidRPr="008158FA">
        <w:rPr>
          <w:bCs/>
        </w:rPr>
        <w:t xml:space="preserve">kraavi veekogutüübiks märgitud oja, rakendub </w:t>
      </w:r>
      <w:r w:rsidR="00E76010">
        <w:rPr>
          <w:bCs/>
        </w:rPr>
        <w:t>ühe</w:t>
      </w:r>
      <w:r w:rsidR="007553F2">
        <w:rPr>
          <w:bCs/>
        </w:rPr>
        <w:t xml:space="preserve"> </w:t>
      </w:r>
      <w:r w:rsidR="008158FA" w:rsidRPr="008158FA">
        <w:rPr>
          <w:bCs/>
        </w:rPr>
        <w:t xml:space="preserve">meetri laiuse puhverriba puhul 10 meetri laiuse puhverriba nõue. </w:t>
      </w:r>
      <w:r w:rsidR="00C03C1E" w:rsidRPr="0067621C">
        <w:rPr>
          <w:bCs/>
        </w:rPr>
        <w:t>On esinenud juhtumeid, kus maaparandussüsteemi eesvoolu ääres, mis on ühtlasi ka oja ja mille valgala jääb alla 10</w:t>
      </w:r>
      <w:r w:rsidR="007553F2">
        <w:rPr>
          <w:bCs/>
        </w:rPr>
        <w:t> </w:t>
      </w:r>
      <w:r w:rsidR="00E76010" w:rsidRPr="00E76010">
        <w:rPr>
          <w:bCs/>
        </w:rPr>
        <w:t>ruutkilomeetri</w:t>
      </w:r>
      <w:r w:rsidR="00C03C1E" w:rsidRPr="0067621C">
        <w:rPr>
          <w:bCs/>
        </w:rPr>
        <w:t xml:space="preserve">, on </w:t>
      </w:r>
      <w:r w:rsidR="00E76010">
        <w:rPr>
          <w:bCs/>
        </w:rPr>
        <w:t>jäetud</w:t>
      </w:r>
      <w:r w:rsidR="00C03C1E" w:rsidRPr="0067621C">
        <w:rPr>
          <w:bCs/>
        </w:rPr>
        <w:t xml:space="preserve"> </w:t>
      </w:r>
      <w:r w:rsidR="00973814">
        <w:rPr>
          <w:bCs/>
        </w:rPr>
        <w:t>10-</w:t>
      </w:r>
      <w:r w:rsidR="00C03C1E" w:rsidRPr="0067621C">
        <w:rPr>
          <w:bCs/>
        </w:rPr>
        <w:t xml:space="preserve">meetrise </w:t>
      </w:r>
      <w:r w:rsidR="00E77D30" w:rsidRPr="0067621C">
        <w:rPr>
          <w:bCs/>
        </w:rPr>
        <w:t xml:space="preserve">puhverriba </w:t>
      </w:r>
      <w:r w:rsidR="00C03C1E" w:rsidRPr="0067621C">
        <w:rPr>
          <w:bCs/>
        </w:rPr>
        <w:t xml:space="preserve">asemel ühemeetrise ulatusega </w:t>
      </w:r>
      <w:r w:rsidR="00E77D30" w:rsidRPr="0067621C">
        <w:rPr>
          <w:bCs/>
        </w:rPr>
        <w:t>puhverriba</w:t>
      </w:r>
      <w:r w:rsidR="00C03C1E" w:rsidRPr="0067621C">
        <w:rPr>
          <w:bCs/>
        </w:rPr>
        <w:t xml:space="preserve">. </w:t>
      </w:r>
      <w:r w:rsidR="00F0763F" w:rsidRPr="0067621C">
        <w:rPr>
          <w:bCs/>
        </w:rPr>
        <w:t xml:space="preserve">Veeseaduse </w:t>
      </w:r>
      <w:r w:rsidR="00C03C1E" w:rsidRPr="0067621C">
        <w:rPr>
          <w:bCs/>
        </w:rPr>
        <w:t xml:space="preserve">§ 123 sätestab, et kui vee kaitseks on kehtestatud kaks või enam tegevuspiirangut, kohaldatakse neist rangeimat. Selle sätte järgi tuleb </w:t>
      </w:r>
      <w:r w:rsidR="00DC439C" w:rsidRPr="0067621C">
        <w:rPr>
          <w:bCs/>
        </w:rPr>
        <w:t>nimetatud eesvoolu puhul</w:t>
      </w:r>
      <w:r w:rsidR="00F0763F" w:rsidRPr="0067621C">
        <w:rPr>
          <w:bCs/>
        </w:rPr>
        <w:t xml:space="preserve"> </w:t>
      </w:r>
      <w:r w:rsidR="00990EA8">
        <w:rPr>
          <w:bCs/>
        </w:rPr>
        <w:t>jätta</w:t>
      </w:r>
      <w:r w:rsidR="00C03C1E" w:rsidRPr="0067621C">
        <w:rPr>
          <w:bCs/>
        </w:rPr>
        <w:t xml:space="preserve"> oja</w:t>
      </w:r>
      <w:r w:rsidR="00990EA8">
        <w:rPr>
          <w:bCs/>
        </w:rPr>
        <w:t xml:space="preserve"> kohta</w:t>
      </w:r>
      <w:r w:rsidR="00C03C1E" w:rsidRPr="0067621C">
        <w:rPr>
          <w:bCs/>
        </w:rPr>
        <w:t xml:space="preserve"> määratud </w:t>
      </w:r>
      <w:r w:rsidR="00740545" w:rsidRPr="0067621C">
        <w:rPr>
          <w:bCs/>
        </w:rPr>
        <w:t xml:space="preserve">laiusega </w:t>
      </w:r>
      <w:r w:rsidR="00E77D30" w:rsidRPr="0067621C">
        <w:rPr>
          <w:bCs/>
        </w:rPr>
        <w:t>puhverriba</w:t>
      </w:r>
      <w:r w:rsidR="00C03C1E" w:rsidRPr="0067621C">
        <w:rPr>
          <w:bCs/>
        </w:rPr>
        <w:t>. Vaidluste vältimiseks on selles küsimuses vajalik parem õigusselgus</w:t>
      </w:r>
      <w:r w:rsidR="00E77D30" w:rsidRPr="0067621C">
        <w:rPr>
          <w:bCs/>
        </w:rPr>
        <w:t xml:space="preserve">. </w:t>
      </w:r>
      <w:r w:rsidR="00F56234" w:rsidRPr="0067621C">
        <w:rPr>
          <w:bCs/>
        </w:rPr>
        <w:t>Seepärast muudeti kaheti</w:t>
      </w:r>
      <w:r w:rsidR="00B47908">
        <w:rPr>
          <w:bCs/>
        </w:rPr>
        <w:t xml:space="preserve"> </w:t>
      </w:r>
      <w:r w:rsidR="00F56234" w:rsidRPr="0067621C">
        <w:rPr>
          <w:bCs/>
        </w:rPr>
        <w:t xml:space="preserve">mõistmise ja vaidluste vältimiseks </w:t>
      </w:r>
      <w:r w:rsidR="00990EA8">
        <w:rPr>
          <w:bCs/>
        </w:rPr>
        <w:t xml:space="preserve">ka </w:t>
      </w:r>
      <w:r w:rsidR="00F56234" w:rsidRPr="0067621C">
        <w:rPr>
          <w:bCs/>
        </w:rPr>
        <w:t>veeseadust</w:t>
      </w:r>
      <w:r w:rsidR="00990EA8">
        <w:rPr>
          <w:bCs/>
        </w:rPr>
        <w:t>.</w:t>
      </w:r>
      <w:r w:rsidR="00F56234" w:rsidRPr="0067621C" w:rsidDel="00F56234">
        <w:rPr>
          <w:bCs/>
        </w:rPr>
        <w:t xml:space="preserve"> </w:t>
      </w:r>
      <w:r w:rsidR="00B47908">
        <w:rPr>
          <w:bCs/>
        </w:rPr>
        <w:t>M</w:t>
      </w:r>
      <w:r w:rsidR="00C03C1E" w:rsidRPr="0067621C">
        <w:rPr>
          <w:bCs/>
        </w:rPr>
        <w:t>aaparandussüsteemide avatud eesvoolu</w:t>
      </w:r>
      <w:r w:rsidR="00953DBA">
        <w:rPr>
          <w:bCs/>
        </w:rPr>
        <w:t>de</w:t>
      </w:r>
      <w:r w:rsidR="00B47908">
        <w:rPr>
          <w:bCs/>
        </w:rPr>
        <w:t>na</w:t>
      </w:r>
      <w:r w:rsidR="00C03C1E" w:rsidRPr="0067621C">
        <w:rPr>
          <w:bCs/>
        </w:rPr>
        <w:t xml:space="preserve"> </w:t>
      </w:r>
      <w:r w:rsidR="00953DBA">
        <w:rPr>
          <w:bCs/>
        </w:rPr>
        <w:t>kasutatavatel</w:t>
      </w:r>
      <w:r w:rsidR="00C03C1E" w:rsidRPr="0067621C">
        <w:rPr>
          <w:bCs/>
        </w:rPr>
        <w:t xml:space="preserve"> kraavidel valgalaga alla </w:t>
      </w:r>
      <w:r w:rsidR="00B47908">
        <w:rPr>
          <w:bCs/>
        </w:rPr>
        <w:t>10</w:t>
      </w:r>
      <w:r w:rsidR="00C03C1E" w:rsidRPr="0067621C">
        <w:rPr>
          <w:bCs/>
        </w:rPr>
        <w:t xml:space="preserve"> </w:t>
      </w:r>
      <w:r w:rsidR="00C03C1E" w:rsidRPr="0067621C">
        <w:rPr>
          <w:bCs/>
        </w:rPr>
        <w:lastRenderedPageBreak/>
        <w:t xml:space="preserve">ruutkilomeetri </w:t>
      </w:r>
      <w:r w:rsidR="00B47908">
        <w:rPr>
          <w:bCs/>
        </w:rPr>
        <w:t>kehtib</w:t>
      </w:r>
      <w:r w:rsidR="00C03C1E" w:rsidRPr="0067621C">
        <w:rPr>
          <w:bCs/>
        </w:rPr>
        <w:t xml:space="preserve"> </w:t>
      </w:r>
      <w:r w:rsidR="00B0005D">
        <w:rPr>
          <w:bCs/>
        </w:rPr>
        <w:t xml:space="preserve">1 meetri laiuse </w:t>
      </w:r>
      <w:r w:rsidR="00E77D30" w:rsidRPr="0067621C">
        <w:rPr>
          <w:bCs/>
        </w:rPr>
        <w:t>puhverriba</w:t>
      </w:r>
      <w:r w:rsidR="00B0005D">
        <w:rPr>
          <w:bCs/>
        </w:rPr>
        <w:t xml:space="preserve"> </w:t>
      </w:r>
      <w:r w:rsidR="00260967" w:rsidRPr="0067621C">
        <w:rPr>
          <w:bCs/>
        </w:rPr>
        <w:t>nõue</w:t>
      </w:r>
      <w:r w:rsidR="00E77D30" w:rsidRPr="0067621C">
        <w:rPr>
          <w:bCs/>
        </w:rPr>
        <w:t xml:space="preserve"> </w:t>
      </w:r>
      <w:r w:rsidR="00C03C1E" w:rsidRPr="0067621C">
        <w:rPr>
          <w:bCs/>
        </w:rPr>
        <w:t>ainult eesvooluks märgitud lõigu ulatuses. Sellistel kraavidel määratakse valgala tervikuna kogu kraavi ulatuses.</w:t>
      </w:r>
    </w:p>
    <w:p w14:paraId="37A4421B" w14:textId="77777777" w:rsidR="00F11991" w:rsidRPr="0067621C" w:rsidRDefault="00F11991" w:rsidP="002F733E">
      <w:pPr>
        <w:jc w:val="both"/>
        <w:rPr>
          <w:bCs/>
        </w:rPr>
      </w:pPr>
    </w:p>
    <w:p w14:paraId="3388D16A" w14:textId="77777777" w:rsidR="003E541C" w:rsidRPr="003E541C" w:rsidRDefault="00F11991" w:rsidP="00617870">
      <w:pPr>
        <w:jc w:val="both"/>
        <w:rPr>
          <w:rFonts w:eastAsia="SimSun" w:cs="Mangal"/>
          <w:kern w:val="1"/>
          <w:lang w:eastAsia="zh-CN" w:bidi="hi-IN"/>
        </w:rPr>
      </w:pPr>
      <w:r w:rsidRPr="0067621C">
        <w:rPr>
          <w:b/>
          <w:bCs/>
        </w:rPr>
        <w:t xml:space="preserve">Eelnõu punktiga 2 </w:t>
      </w:r>
      <w:r w:rsidRPr="0067621C">
        <w:rPr>
          <w:bCs/>
        </w:rPr>
        <w:t xml:space="preserve">täiendatakse </w:t>
      </w:r>
      <w:r w:rsidR="003E541C">
        <w:rPr>
          <w:bCs/>
        </w:rPr>
        <w:t xml:space="preserve">määruse § 1 lõiget 4 </w:t>
      </w:r>
      <w:r w:rsidRPr="0067621C">
        <w:rPr>
          <w:bCs/>
        </w:rPr>
        <w:t>teise lausega.</w:t>
      </w:r>
      <w:r w:rsidR="00D60AB0" w:rsidRPr="0067621C">
        <w:rPr>
          <w:bCs/>
        </w:rPr>
        <w:t xml:space="preserve"> </w:t>
      </w:r>
      <w:r w:rsidR="00E94855" w:rsidRPr="0067621C">
        <w:rPr>
          <w:bCs/>
        </w:rPr>
        <w:t xml:space="preserve">Lisatud lausega täiendatakse </w:t>
      </w:r>
      <w:r w:rsidR="003E541C" w:rsidRPr="006644CE">
        <w:t>Euroopa Komisjoni põllumajanduse ja maaelu arengu peadirektoraadi ametlikus teatises toodud tähelepanekust tulenevalt</w:t>
      </w:r>
      <w:r w:rsidR="0006014D">
        <w:t xml:space="preserve"> nimetatud lõikes </w:t>
      </w:r>
      <w:r w:rsidR="0003237F">
        <w:t>esitatud</w:t>
      </w:r>
      <w:r w:rsidR="00740545" w:rsidRPr="0067621C">
        <w:rPr>
          <w:bCs/>
        </w:rPr>
        <w:t xml:space="preserve"> </w:t>
      </w:r>
      <w:r w:rsidR="00E94855" w:rsidRPr="0067621C">
        <w:rPr>
          <w:bCs/>
        </w:rPr>
        <w:t xml:space="preserve">nõude </w:t>
      </w:r>
      <w:r w:rsidR="00700326" w:rsidRPr="0067621C">
        <w:rPr>
          <w:bCs/>
        </w:rPr>
        <w:t xml:space="preserve">sõnastust </w:t>
      </w:r>
      <w:r w:rsidR="00E94855" w:rsidRPr="0067621C">
        <w:rPr>
          <w:bCs/>
        </w:rPr>
        <w:t>ee</w:t>
      </w:r>
      <w:r w:rsidR="00EC57E9" w:rsidRPr="0067621C">
        <w:rPr>
          <w:bCs/>
        </w:rPr>
        <w:t>s</w:t>
      </w:r>
      <w:r w:rsidR="00E94855" w:rsidRPr="0067621C">
        <w:rPr>
          <w:bCs/>
        </w:rPr>
        <w:t xml:space="preserve">märgiga </w:t>
      </w:r>
      <w:r w:rsidR="0006014D">
        <w:rPr>
          <w:bCs/>
        </w:rPr>
        <w:t>sätestada</w:t>
      </w:r>
      <w:r w:rsidR="00700326" w:rsidRPr="0067621C">
        <w:rPr>
          <w:bCs/>
        </w:rPr>
        <w:t xml:space="preserve"> selgesõnaliselt, kuidas välditakse ohtu keskkonnale </w:t>
      </w:r>
      <w:r w:rsidR="00EC57E9" w:rsidRPr="0067621C">
        <w:rPr>
          <w:bCs/>
        </w:rPr>
        <w:t>alla 3</w:t>
      </w:r>
      <w:r w:rsidR="0006014D" w:rsidRPr="005262C0">
        <w:rPr>
          <w:bCs/>
        </w:rPr>
        <w:t>-kuupmeetristes</w:t>
      </w:r>
      <w:r w:rsidR="00EC57E9" w:rsidRPr="0067621C">
        <w:rPr>
          <w:bCs/>
        </w:rPr>
        <w:t xml:space="preserve"> </w:t>
      </w:r>
      <w:r w:rsidR="00617870">
        <w:rPr>
          <w:bCs/>
        </w:rPr>
        <w:t xml:space="preserve">naftasaaduste </w:t>
      </w:r>
      <w:r w:rsidR="00740545" w:rsidRPr="0067621C">
        <w:rPr>
          <w:bCs/>
        </w:rPr>
        <w:t xml:space="preserve">mahutites </w:t>
      </w:r>
      <w:r w:rsidR="00EC57E9" w:rsidRPr="0067621C">
        <w:rPr>
          <w:bCs/>
        </w:rPr>
        <w:t>naftasaaduste hoidmise korral</w:t>
      </w:r>
      <w:r w:rsidR="00E94855" w:rsidRPr="0067621C">
        <w:rPr>
          <w:bCs/>
        </w:rPr>
        <w:t xml:space="preserve">. </w:t>
      </w:r>
      <w:r w:rsidR="007553F2">
        <w:rPr>
          <w:bCs/>
        </w:rPr>
        <w:t>Praegu</w:t>
      </w:r>
      <w:r w:rsidR="0018296C">
        <w:rPr>
          <w:bCs/>
        </w:rPr>
        <w:t xml:space="preserve"> puudub kontrolliasutusel </w:t>
      </w:r>
      <w:r w:rsidR="001421D7">
        <w:rPr>
          <w:bCs/>
        </w:rPr>
        <w:t xml:space="preserve">ühtlasi </w:t>
      </w:r>
      <w:r w:rsidR="00EC57E9" w:rsidRPr="0067621C">
        <w:rPr>
          <w:bCs/>
        </w:rPr>
        <w:t>otsene</w:t>
      </w:r>
      <w:r w:rsidR="00D60AB0" w:rsidRPr="0067621C">
        <w:rPr>
          <w:bCs/>
        </w:rPr>
        <w:t xml:space="preserve"> kohustus kontroll</w:t>
      </w:r>
      <w:r w:rsidR="00FC3E14">
        <w:rPr>
          <w:bCs/>
        </w:rPr>
        <w:t>i</w:t>
      </w:r>
      <w:r w:rsidR="00D60AB0" w:rsidRPr="0067621C">
        <w:rPr>
          <w:bCs/>
        </w:rPr>
        <w:t>aruandes märkida</w:t>
      </w:r>
      <w:r w:rsidR="00260967" w:rsidRPr="0067621C">
        <w:rPr>
          <w:bCs/>
        </w:rPr>
        <w:t>,</w:t>
      </w:r>
      <w:r w:rsidR="005B4042" w:rsidRPr="0067621C">
        <w:rPr>
          <w:bCs/>
        </w:rPr>
        <w:t xml:space="preserve"> </w:t>
      </w:r>
      <w:r w:rsidR="00D60AB0" w:rsidRPr="0067621C">
        <w:rPr>
          <w:bCs/>
        </w:rPr>
        <w:t xml:space="preserve">kas ja kuidas </w:t>
      </w:r>
      <w:r w:rsidR="007553F2">
        <w:rPr>
          <w:bCs/>
        </w:rPr>
        <w:t>hoiustab põllumajandustootja</w:t>
      </w:r>
      <w:r w:rsidR="00D60AB0" w:rsidRPr="0067621C">
        <w:rPr>
          <w:bCs/>
        </w:rPr>
        <w:t xml:space="preserve"> naftasaaduseid, kui </w:t>
      </w:r>
      <w:r w:rsidR="00EC57E9" w:rsidRPr="0067621C">
        <w:rPr>
          <w:bCs/>
        </w:rPr>
        <w:t>ne</w:t>
      </w:r>
      <w:r w:rsidR="00FC3E14">
        <w:rPr>
          <w:bCs/>
        </w:rPr>
        <w:t>id</w:t>
      </w:r>
      <w:r w:rsidR="00EC57E9" w:rsidRPr="0067621C">
        <w:rPr>
          <w:bCs/>
        </w:rPr>
        <w:t xml:space="preserve"> </w:t>
      </w:r>
      <w:r w:rsidR="00700326" w:rsidRPr="0067621C">
        <w:rPr>
          <w:bCs/>
        </w:rPr>
        <w:t>hoi</w:t>
      </w:r>
      <w:r w:rsidR="00FC3E14">
        <w:rPr>
          <w:bCs/>
        </w:rPr>
        <w:t>takse</w:t>
      </w:r>
      <w:r w:rsidR="00EC57E9" w:rsidRPr="0067621C">
        <w:rPr>
          <w:bCs/>
        </w:rPr>
        <w:t xml:space="preserve"> alla 3</w:t>
      </w:r>
      <w:r w:rsidR="00FC3E14">
        <w:rPr>
          <w:bCs/>
        </w:rPr>
        <w:t>-kuupmeetrises naftasaaduste mahutis</w:t>
      </w:r>
      <w:r w:rsidR="00EC57E9" w:rsidRPr="0067621C">
        <w:rPr>
          <w:bCs/>
        </w:rPr>
        <w:t>.</w:t>
      </w:r>
      <w:r w:rsidR="00FC3E14">
        <w:rPr>
          <w:bCs/>
        </w:rPr>
        <w:t xml:space="preserve"> Eeltood</w:t>
      </w:r>
      <w:r w:rsidR="001421D7">
        <w:rPr>
          <w:bCs/>
        </w:rPr>
        <w:t>ust tulenevalt sätestatakse, et</w:t>
      </w:r>
      <w:r w:rsidR="003E541C" w:rsidRPr="003E541C">
        <w:rPr>
          <w:rFonts w:eastAsia="SimSun" w:cs="Mangal"/>
          <w:kern w:val="1"/>
          <w:lang w:eastAsia="zh-CN" w:bidi="hi-IN"/>
        </w:rPr>
        <w:t xml:space="preserve"> </w:t>
      </w:r>
      <w:r w:rsidR="00FC3E14">
        <w:rPr>
          <w:rFonts w:eastAsia="SimSun" w:cs="Mangal"/>
          <w:kern w:val="1"/>
          <w:lang w:eastAsia="zh-CN" w:bidi="hi-IN"/>
        </w:rPr>
        <w:t>a</w:t>
      </w:r>
      <w:r w:rsidR="003E541C" w:rsidRPr="003E541C">
        <w:rPr>
          <w:rFonts w:eastAsia="SimSun" w:cs="Mangal"/>
          <w:kern w:val="1"/>
          <w:lang w:eastAsia="zh-CN" w:bidi="hi-IN"/>
        </w:rPr>
        <w:t>lla 3-kuupmeetrine naftasaaduse mahuti peab selle kasutamise ajal olema lekkekindel ja naftasaaduse hoidmine peab olema tagatud viisil</w:t>
      </w:r>
      <w:r w:rsidR="001421D7">
        <w:rPr>
          <w:rFonts w:eastAsia="SimSun" w:cs="Mangal"/>
          <w:kern w:val="1"/>
          <w:lang w:eastAsia="zh-CN" w:bidi="hi-IN"/>
        </w:rPr>
        <w:t>, mis ei kahjusta keskkonda.</w:t>
      </w:r>
    </w:p>
    <w:p w14:paraId="22D68D8D" w14:textId="77777777" w:rsidR="00F11991" w:rsidRPr="0067621C" w:rsidRDefault="00F11991" w:rsidP="002F733E">
      <w:pPr>
        <w:jc w:val="both"/>
        <w:rPr>
          <w:bCs/>
        </w:rPr>
      </w:pPr>
    </w:p>
    <w:p w14:paraId="1C011CFC" w14:textId="77777777" w:rsidR="00EC57E9" w:rsidRPr="0067621C" w:rsidRDefault="00EC57E9" w:rsidP="00EC57E9">
      <w:pPr>
        <w:jc w:val="both"/>
        <w:rPr>
          <w:bCs/>
        </w:rPr>
      </w:pPr>
      <w:r w:rsidRPr="0067621C">
        <w:rPr>
          <w:bCs/>
        </w:rPr>
        <w:t xml:space="preserve">Põhjavee kaitset käsitlev </w:t>
      </w:r>
      <w:r w:rsidR="00022791">
        <w:rPr>
          <w:bCs/>
        </w:rPr>
        <w:t xml:space="preserve">standard, millel määruse § 1 lõikes 4 toodud </w:t>
      </w:r>
      <w:r w:rsidRPr="0067621C">
        <w:rPr>
          <w:bCs/>
        </w:rPr>
        <w:t xml:space="preserve">nõue </w:t>
      </w:r>
      <w:r w:rsidR="00022791">
        <w:rPr>
          <w:bCs/>
        </w:rPr>
        <w:t xml:space="preserve">põhineb, </w:t>
      </w:r>
      <w:r w:rsidRPr="0067621C">
        <w:rPr>
          <w:bCs/>
        </w:rPr>
        <w:t>on sätestatud Euroopa Parlamendi ja nõukogu määruse</w:t>
      </w:r>
      <w:r w:rsidR="005B4042" w:rsidRPr="0067621C">
        <w:rPr>
          <w:bCs/>
        </w:rPr>
        <w:t>s</w:t>
      </w:r>
      <w:r w:rsidRPr="0067621C">
        <w:rPr>
          <w:bCs/>
        </w:rPr>
        <w:t xml:space="preserve"> (EL) nr 1306/2013, kus maa heas põllumajandus</w:t>
      </w:r>
      <w:r w:rsidR="007553F2">
        <w:rPr>
          <w:bCs/>
        </w:rPr>
        <w:t>-</w:t>
      </w:r>
      <w:r w:rsidRPr="0067621C">
        <w:rPr>
          <w:bCs/>
        </w:rPr>
        <w:t xml:space="preserve"> ja keskkonnaseisundis hoidmise </w:t>
      </w:r>
      <w:r w:rsidR="00C06EE3">
        <w:rPr>
          <w:bCs/>
        </w:rPr>
        <w:t xml:space="preserve">(edaspidi </w:t>
      </w:r>
      <w:r w:rsidR="00C06EE3" w:rsidRPr="00C06EE3">
        <w:rPr>
          <w:bCs/>
          <w:i/>
        </w:rPr>
        <w:t>HPK</w:t>
      </w:r>
      <w:r w:rsidR="00C06EE3">
        <w:rPr>
          <w:bCs/>
        </w:rPr>
        <w:t xml:space="preserve">) </w:t>
      </w:r>
      <w:r w:rsidRPr="0067621C">
        <w:rPr>
          <w:bCs/>
        </w:rPr>
        <w:t xml:space="preserve">standard 3 sisaldab põhjavee kaitset reostuse eest, otseheite keelamist põhjavette ning meetmeid hoidmaks ära põhjavee kaudset reostust heite pinnasele juhtimise ja pinnase läbi toimuva ohtlike ainete infiltratsiooni kaudu, nagu on loetletud </w:t>
      </w:r>
      <w:r w:rsidR="000E5EE8">
        <w:rPr>
          <w:bCs/>
        </w:rPr>
        <w:t xml:space="preserve">nõukogu </w:t>
      </w:r>
      <w:r w:rsidRPr="0067621C">
        <w:rPr>
          <w:bCs/>
        </w:rPr>
        <w:t>direktiivi 80/68/EMÜ</w:t>
      </w:r>
      <w:r w:rsidR="000E5EE8" w:rsidRPr="000E5EE8">
        <w:t xml:space="preserve"> </w:t>
      </w:r>
      <w:r w:rsidR="000E5EE8" w:rsidRPr="000E5EE8">
        <w:rPr>
          <w:bCs/>
        </w:rPr>
        <w:t>põhjavee kaitse kohta teatavatest ohtlikest ainetest lähtuva reostuse eest</w:t>
      </w:r>
      <w:r w:rsidR="000E5EE8">
        <w:rPr>
          <w:bCs/>
        </w:rPr>
        <w:t xml:space="preserve"> (</w:t>
      </w:r>
      <w:r w:rsidR="000E5EE8" w:rsidRPr="000E5EE8">
        <w:rPr>
          <w:bCs/>
        </w:rPr>
        <w:t>EÜT L 20, 26.</w:t>
      </w:r>
      <w:r w:rsidR="000E5EE8">
        <w:rPr>
          <w:bCs/>
        </w:rPr>
        <w:t>01.1980, lk 43–</w:t>
      </w:r>
      <w:r w:rsidR="000E5EE8" w:rsidRPr="000E5EE8">
        <w:rPr>
          <w:bCs/>
        </w:rPr>
        <w:t>48</w:t>
      </w:r>
      <w:r w:rsidR="000E5EE8">
        <w:rPr>
          <w:bCs/>
        </w:rPr>
        <w:t xml:space="preserve">) </w:t>
      </w:r>
      <w:r w:rsidRPr="0067621C">
        <w:rPr>
          <w:bCs/>
        </w:rPr>
        <w:t>lisas.</w:t>
      </w:r>
    </w:p>
    <w:p w14:paraId="71C1C350" w14:textId="77777777" w:rsidR="00EC57E9" w:rsidRPr="0067621C" w:rsidRDefault="00EC57E9" w:rsidP="002F733E">
      <w:pPr>
        <w:jc w:val="both"/>
        <w:rPr>
          <w:b/>
          <w:bCs/>
        </w:rPr>
      </w:pPr>
    </w:p>
    <w:p w14:paraId="316ED71D" w14:textId="77777777" w:rsidR="002D6483" w:rsidRPr="0067621C" w:rsidRDefault="002D6483" w:rsidP="002F733E">
      <w:pPr>
        <w:jc w:val="both"/>
        <w:rPr>
          <w:b/>
          <w:bCs/>
        </w:rPr>
      </w:pPr>
      <w:r w:rsidRPr="0067621C">
        <w:rPr>
          <w:b/>
          <w:bCs/>
        </w:rPr>
        <w:t>3. Eelnõu vastavus Euroopa Liidu õigusele</w:t>
      </w:r>
    </w:p>
    <w:p w14:paraId="043F418A" w14:textId="77777777" w:rsidR="002D6483" w:rsidRPr="0067621C" w:rsidRDefault="002D6483" w:rsidP="002F733E">
      <w:pPr>
        <w:jc w:val="both"/>
        <w:rPr>
          <w:b/>
          <w:bCs/>
        </w:rPr>
      </w:pPr>
    </w:p>
    <w:p w14:paraId="09C201FC" w14:textId="77777777" w:rsidR="00D32FDB" w:rsidRPr="0067621C" w:rsidRDefault="00D32FDB" w:rsidP="00D32FDB">
      <w:pPr>
        <w:jc w:val="both"/>
      </w:pPr>
      <w:r w:rsidRPr="0067621C">
        <w:t>Eelnõuga tehtavad muudatused on kooskõlas Euroopa Liidu õigusega. Eelnõu on kooskõlas Euroopa Parlamendi ja nõukogu määrusega (EL) nr 1306/2013 ühise põllumajanduspoliitika rahastamise, haldamise ja seire kohta ning millega tunnistatakse kehtetuks nõukogu määrused (EMÜ) nr 352/78, (EÜ) nr 165/94, (EÜ) nr 2799/98, (EÜ) nr 814/2000, (EÜ) nr 1290/2005 ja (EÜ) nr 485/2008 (ELT L 347, 20.12.2013, lk 549–607).</w:t>
      </w:r>
    </w:p>
    <w:p w14:paraId="72D2D285" w14:textId="77777777" w:rsidR="00FF108D" w:rsidRPr="0067621C" w:rsidRDefault="00FF108D" w:rsidP="002F733E">
      <w:pPr>
        <w:jc w:val="both"/>
        <w:rPr>
          <w:b/>
          <w:bCs/>
        </w:rPr>
      </w:pPr>
    </w:p>
    <w:p w14:paraId="1CE33E71" w14:textId="77777777" w:rsidR="002D6483" w:rsidRPr="0067621C" w:rsidRDefault="002D6483" w:rsidP="002F733E">
      <w:pPr>
        <w:jc w:val="both"/>
        <w:rPr>
          <w:b/>
          <w:bCs/>
        </w:rPr>
      </w:pPr>
      <w:r w:rsidRPr="0067621C">
        <w:rPr>
          <w:b/>
          <w:bCs/>
        </w:rPr>
        <w:t>4. Määruse mõjud</w:t>
      </w:r>
    </w:p>
    <w:p w14:paraId="54DF2DEC" w14:textId="77777777" w:rsidR="00BD75A8" w:rsidRDefault="00BD75A8" w:rsidP="002F733E">
      <w:pPr>
        <w:jc w:val="both"/>
        <w:rPr>
          <w:rFonts w:eastAsia="SimSun"/>
          <w:kern w:val="1"/>
          <w:lang w:eastAsia="zh-CN" w:bidi="hi-IN"/>
        </w:rPr>
      </w:pPr>
    </w:p>
    <w:p w14:paraId="10F18B68" w14:textId="0717B46A" w:rsidR="00BD057F" w:rsidRDefault="00BD057F" w:rsidP="00C243FB">
      <w:pPr>
        <w:jc w:val="both"/>
        <w:rPr>
          <w:rFonts w:eastAsia="SimSun"/>
          <w:kern w:val="1"/>
          <w:lang w:eastAsia="zh-CN" w:bidi="hi-IN"/>
        </w:rPr>
      </w:pPr>
      <w:r w:rsidRPr="0067621C">
        <w:rPr>
          <w:rFonts w:eastAsia="SimSun"/>
          <w:kern w:val="1"/>
          <w:lang w:eastAsia="zh-CN" w:bidi="hi-IN"/>
        </w:rPr>
        <w:t>Esimese muudatusega täpsustatakse</w:t>
      </w:r>
      <w:r w:rsidR="00BC1ECC">
        <w:rPr>
          <w:rFonts w:eastAsia="SimSun"/>
          <w:kern w:val="1"/>
          <w:lang w:eastAsia="zh-CN" w:bidi="hi-IN"/>
        </w:rPr>
        <w:t xml:space="preserve"> puhverriba ulatuse</w:t>
      </w:r>
      <w:r w:rsidRPr="0067621C">
        <w:rPr>
          <w:rFonts w:eastAsia="SimSun"/>
          <w:kern w:val="1"/>
          <w:lang w:eastAsia="zh-CN" w:bidi="hi-IN"/>
        </w:rPr>
        <w:t xml:space="preserve"> </w:t>
      </w:r>
      <w:r w:rsidR="00BC1ECC">
        <w:rPr>
          <w:rFonts w:eastAsia="SimSun"/>
          <w:kern w:val="1"/>
          <w:lang w:eastAsia="zh-CN" w:bidi="hi-IN"/>
        </w:rPr>
        <w:t xml:space="preserve">kohta kehtivate </w:t>
      </w:r>
      <w:r w:rsidRPr="0067621C">
        <w:rPr>
          <w:rFonts w:eastAsia="SimSun"/>
          <w:kern w:val="1"/>
          <w:lang w:eastAsia="zh-CN" w:bidi="hi-IN"/>
        </w:rPr>
        <w:t>nõu</w:t>
      </w:r>
      <w:r w:rsidR="00BC1ECC">
        <w:rPr>
          <w:rFonts w:eastAsia="SimSun"/>
          <w:kern w:val="1"/>
          <w:lang w:eastAsia="zh-CN" w:bidi="hi-IN"/>
        </w:rPr>
        <w:t>ete sõnastust</w:t>
      </w:r>
      <w:r w:rsidRPr="0067621C">
        <w:rPr>
          <w:rFonts w:eastAsia="SimSun"/>
          <w:kern w:val="1"/>
          <w:lang w:eastAsia="zh-CN" w:bidi="hi-IN"/>
        </w:rPr>
        <w:t xml:space="preserve"> ja viiakse </w:t>
      </w:r>
      <w:r w:rsidR="00BC1ECC">
        <w:rPr>
          <w:rFonts w:eastAsia="SimSun"/>
          <w:kern w:val="1"/>
          <w:lang w:eastAsia="zh-CN" w:bidi="hi-IN"/>
        </w:rPr>
        <w:t>need</w:t>
      </w:r>
      <w:r w:rsidRPr="0067621C">
        <w:rPr>
          <w:rFonts w:eastAsia="SimSun"/>
          <w:kern w:val="1"/>
          <w:lang w:eastAsia="zh-CN" w:bidi="hi-IN"/>
        </w:rPr>
        <w:t xml:space="preserve"> vastavusse vees</w:t>
      </w:r>
      <w:r w:rsidR="00260967" w:rsidRPr="0067621C">
        <w:rPr>
          <w:rFonts w:eastAsia="SimSun"/>
          <w:kern w:val="1"/>
          <w:lang w:eastAsia="zh-CN" w:bidi="hi-IN"/>
        </w:rPr>
        <w:t>e</w:t>
      </w:r>
      <w:r w:rsidRPr="0067621C">
        <w:rPr>
          <w:rFonts w:eastAsia="SimSun"/>
          <w:kern w:val="1"/>
          <w:lang w:eastAsia="zh-CN" w:bidi="hi-IN"/>
        </w:rPr>
        <w:t>aduse</w:t>
      </w:r>
      <w:r w:rsidR="00BC1ECC">
        <w:rPr>
          <w:rFonts w:eastAsia="SimSun"/>
          <w:kern w:val="1"/>
          <w:lang w:eastAsia="zh-CN" w:bidi="hi-IN"/>
        </w:rPr>
        <w:t xml:space="preserve"> muudatusega</w:t>
      </w:r>
      <w:r w:rsidRPr="0067621C">
        <w:rPr>
          <w:rFonts w:eastAsia="SimSun"/>
          <w:kern w:val="1"/>
          <w:lang w:eastAsia="zh-CN" w:bidi="hi-IN"/>
        </w:rPr>
        <w:t xml:space="preserve">, mistõttu muudatusel olulisi mõjusid sihtgrupile ega </w:t>
      </w:r>
      <w:r w:rsidR="00547ADF">
        <w:rPr>
          <w:rFonts w:eastAsia="SimSun"/>
          <w:kern w:val="1"/>
          <w:lang w:eastAsia="zh-CN" w:bidi="hi-IN"/>
        </w:rPr>
        <w:t xml:space="preserve">kontrolli- ja </w:t>
      </w:r>
      <w:r w:rsidR="00740545" w:rsidRPr="0067621C">
        <w:rPr>
          <w:rFonts w:eastAsia="SimSun"/>
          <w:kern w:val="1"/>
          <w:lang w:eastAsia="zh-CN" w:bidi="hi-IN"/>
        </w:rPr>
        <w:t>järelevalveasutusele ei ole</w:t>
      </w:r>
      <w:r w:rsidR="00E8206E">
        <w:rPr>
          <w:rFonts w:eastAsia="SimSun"/>
          <w:kern w:val="1"/>
          <w:lang w:eastAsia="zh-CN" w:bidi="hi-IN"/>
        </w:rPr>
        <w:t>.</w:t>
      </w:r>
      <w:r w:rsidR="001228C2">
        <w:rPr>
          <w:rFonts w:eastAsia="SimSun"/>
          <w:kern w:val="1"/>
          <w:lang w:eastAsia="zh-CN" w:bidi="hi-IN"/>
        </w:rPr>
        <w:t xml:space="preserve"> </w:t>
      </w:r>
      <w:r w:rsidR="006C2538">
        <w:rPr>
          <w:rFonts w:eastAsia="SimSun"/>
          <w:kern w:val="1"/>
          <w:lang w:eastAsia="zh-CN" w:bidi="hi-IN"/>
        </w:rPr>
        <w:t>Mõningal määral või</w:t>
      </w:r>
      <w:r w:rsidR="001228C2">
        <w:rPr>
          <w:rFonts w:eastAsia="SimSun"/>
          <w:kern w:val="1"/>
          <w:lang w:eastAsia="zh-CN" w:bidi="hi-IN"/>
        </w:rPr>
        <w:t>b sätete õigusselgema sõnast</w:t>
      </w:r>
      <w:r w:rsidR="00C00811">
        <w:rPr>
          <w:rFonts w:eastAsia="SimSun"/>
          <w:kern w:val="1"/>
          <w:lang w:eastAsia="zh-CN" w:bidi="hi-IN"/>
        </w:rPr>
        <w:t>amisega</w:t>
      </w:r>
      <w:r w:rsidR="001228C2">
        <w:rPr>
          <w:rFonts w:eastAsia="SimSun"/>
          <w:kern w:val="1"/>
          <w:lang w:eastAsia="zh-CN" w:bidi="hi-IN"/>
        </w:rPr>
        <w:t xml:space="preserve"> väheneda nimetatud nõuete rikkumine ja nõuete rikkumistega seotud vaidluste hulk, mis omakorda vähendab haldus- ja töökoormust. </w:t>
      </w:r>
      <w:r w:rsidR="00D807AB" w:rsidRPr="004B3C50">
        <w:rPr>
          <w:rFonts w:eastAsia="SimSun"/>
          <w:kern w:val="1"/>
          <w:lang w:eastAsia="zh-CN" w:bidi="hi-IN"/>
        </w:rPr>
        <w:t>Nõude sisu ei muutu.</w:t>
      </w:r>
      <w:r w:rsidR="00740545" w:rsidRPr="004B3C50">
        <w:rPr>
          <w:rFonts w:eastAsia="SimSun"/>
          <w:kern w:val="1"/>
          <w:lang w:eastAsia="zh-CN" w:bidi="hi-IN"/>
        </w:rPr>
        <w:t xml:space="preserve"> </w:t>
      </w:r>
    </w:p>
    <w:p w14:paraId="1D7DD200" w14:textId="77777777" w:rsidR="008F0883" w:rsidRPr="0067621C" w:rsidRDefault="008F0883" w:rsidP="002F733E">
      <w:pPr>
        <w:jc w:val="both"/>
        <w:rPr>
          <w:b/>
          <w:bCs/>
        </w:rPr>
      </w:pPr>
    </w:p>
    <w:p w14:paraId="7EEE0CD5" w14:textId="77777777" w:rsidR="00292B1F" w:rsidRDefault="000F61DF" w:rsidP="00292B1F">
      <w:pPr>
        <w:jc w:val="both"/>
        <w:rPr>
          <w:rFonts w:eastAsia="SimSun"/>
          <w:kern w:val="1"/>
          <w:lang w:eastAsia="zh-CN" w:bidi="hi-IN"/>
        </w:rPr>
      </w:pPr>
      <w:r w:rsidRPr="0067621C">
        <w:rPr>
          <w:rFonts w:eastAsia="SimSun"/>
          <w:kern w:val="1"/>
          <w:lang w:eastAsia="zh-CN" w:bidi="hi-IN"/>
        </w:rPr>
        <w:t>Keskkonnaamet kontrollib kõikide põllumajandustootjate juures tööstusheiteseadusega, veeseadusega, kemikaaliseadusega ja muude õigusaktidega kemikaalide käitlemisele (sh nafta</w:t>
      </w:r>
      <w:r w:rsidR="00E83B9C">
        <w:rPr>
          <w:rFonts w:eastAsia="SimSun"/>
          <w:kern w:val="1"/>
          <w:lang w:eastAsia="zh-CN" w:bidi="hi-IN"/>
        </w:rPr>
        <w:t>saaduste</w:t>
      </w:r>
      <w:r w:rsidRPr="0067621C">
        <w:rPr>
          <w:rFonts w:eastAsia="SimSun"/>
          <w:kern w:val="1"/>
          <w:lang w:eastAsia="zh-CN" w:bidi="hi-IN"/>
        </w:rPr>
        <w:t xml:space="preserve"> hoiustamisele) kehtestatud nõuete täitmist. </w:t>
      </w:r>
      <w:r w:rsidR="00700326" w:rsidRPr="0067621C">
        <w:rPr>
          <w:rFonts w:eastAsia="SimSun"/>
          <w:kern w:val="1"/>
          <w:lang w:eastAsia="zh-CN" w:bidi="hi-IN"/>
        </w:rPr>
        <w:t xml:space="preserve">Selliste ainete hoidmine peab olema keskkonnale ohutu ja </w:t>
      </w:r>
      <w:r w:rsidR="00BC1ECC">
        <w:rPr>
          <w:rFonts w:eastAsia="SimSun"/>
          <w:kern w:val="1"/>
          <w:lang w:eastAsia="zh-CN" w:bidi="hi-IN"/>
        </w:rPr>
        <w:t xml:space="preserve">seda </w:t>
      </w:r>
      <w:r w:rsidR="00700326" w:rsidRPr="0067621C">
        <w:rPr>
          <w:rFonts w:eastAsia="SimSun"/>
          <w:kern w:val="1"/>
          <w:lang w:eastAsia="zh-CN" w:bidi="hi-IN"/>
        </w:rPr>
        <w:t xml:space="preserve">Keskkonnaamet </w:t>
      </w:r>
      <w:r w:rsidR="00BC1ECC" w:rsidRPr="0067621C">
        <w:rPr>
          <w:rFonts w:eastAsia="SimSun"/>
          <w:kern w:val="1"/>
          <w:lang w:eastAsia="zh-CN" w:bidi="hi-IN"/>
        </w:rPr>
        <w:t xml:space="preserve">kohapeal </w:t>
      </w:r>
      <w:r w:rsidR="00700326" w:rsidRPr="0067621C">
        <w:rPr>
          <w:rFonts w:eastAsia="SimSun"/>
          <w:kern w:val="1"/>
          <w:lang w:eastAsia="zh-CN" w:bidi="hi-IN"/>
        </w:rPr>
        <w:t xml:space="preserve">kontrollibki. Vastavate ainete nimekiri ja käitlemisvõimalused on laiad, mistõttu </w:t>
      </w:r>
      <w:r w:rsidR="00BD057F" w:rsidRPr="0067621C">
        <w:rPr>
          <w:rFonts w:eastAsia="SimSun"/>
          <w:kern w:val="1"/>
          <w:lang w:eastAsia="zh-CN" w:bidi="hi-IN"/>
        </w:rPr>
        <w:t xml:space="preserve">on </w:t>
      </w:r>
      <w:r w:rsidR="00BC1ECC" w:rsidRPr="00BC1ECC">
        <w:rPr>
          <w:rFonts w:eastAsia="SimSun"/>
          <w:kern w:val="1"/>
          <w:lang w:eastAsia="zh-CN" w:bidi="hi-IN"/>
        </w:rPr>
        <w:t>Euroopa Liidu ühise põllumajanduspoliitika rakendamise seadus</w:t>
      </w:r>
      <w:r w:rsidR="00BC1ECC">
        <w:rPr>
          <w:rFonts w:eastAsia="SimSun"/>
          <w:kern w:val="1"/>
          <w:lang w:eastAsia="zh-CN" w:bidi="hi-IN"/>
        </w:rPr>
        <w:t xml:space="preserve">e § 32 lõikes 1 nimetatud </w:t>
      </w:r>
      <w:r w:rsidR="00BD057F" w:rsidRPr="0067621C">
        <w:rPr>
          <w:rFonts w:eastAsia="SimSun"/>
          <w:kern w:val="1"/>
          <w:lang w:eastAsia="zh-CN" w:bidi="hi-IN"/>
        </w:rPr>
        <w:t>nõuetele vastavuse</w:t>
      </w:r>
      <w:r w:rsidR="00BC1ECC">
        <w:rPr>
          <w:rFonts w:eastAsia="SimSun"/>
          <w:kern w:val="1"/>
          <w:lang w:eastAsia="zh-CN" w:bidi="hi-IN"/>
        </w:rPr>
        <w:t xml:space="preserve"> nõuete (edaspidi </w:t>
      </w:r>
      <w:r w:rsidR="00BC1ECC" w:rsidRPr="00BC1ECC">
        <w:rPr>
          <w:rFonts w:eastAsia="SimSun"/>
          <w:i/>
          <w:kern w:val="1"/>
          <w:lang w:eastAsia="zh-CN" w:bidi="hi-IN"/>
        </w:rPr>
        <w:t>nõuetele vastavuse nõuded</w:t>
      </w:r>
      <w:r w:rsidR="00BC1ECC">
        <w:rPr>
          <w:rFonts w:eastAsia="SimSun"/>
          <w:kern w:val="1"/>
          <w:lang w:eastAsia="zh-CN" w:bidi="hi-IN"/>
        </w:rPr>
        <w:t>) puhul</w:t>
      </w:r>
      <w:r w:rsidR="00BD057F" w:rsidRPr="0067621C">
        <w:rPr>
          <w:rFonts w:eastAsia="SimSun"/>
          <w:kern w:val="1"/>
          <w:lang w:eastAsia="zh-CN" w:bidi="hi-IN"/>
        </w:rPr>
        <w:t xml:space="preserve"> seni piirdutud konkreetse veeseaduse nõudega. Siiski ei jää</w:t>
      </w:r>
      <w:r w:rsidR="00BC1ECC">
        <w:rPr>
          <w:rFonts w:eastAsia="SimSun"/>
          <w:kern w:val="1"/>
          <w:lang w:eastAsia="zh-CN" w:bidi="hi-IN"/>
        </w:rPr>
        <w:t>ks</w:t>
      </w:r>
      <w:r w:rsidRPr="0067621C">
        <w:rPr>
          <w:rFonts w:eastAsia="SimSun"/>
          <w:kern w:val="1"/>
          <w:lang w:eastAsia="zh-CN" w:bidi="hi-IN"/>
        </w:rPr>
        <w:t xml:space="preserve"> </w:t>
      </w:r>
      <w:r w:rsidR="00BD057F" w:rsidRPr="0067621C">
        <w:rPr>
          <w:rFonts w:eastAsia="SimSun"/>
          <w:kern w:val="1"/>
          <w:lang w:eastAsia="zh-CN" w:bidi="hi-IN"/>
        </w:rPr>
        <w:t xml:space="preserve">nõuetele vastavuse </w:t>
      </w:r>
      <w:r w:rsidR="00BC1ECC">
        <w:rPr>
          <w:rFonts w:eastAsia="SimSun"/>
          <w:kern w:val="1"/>
          <w:lang w:eastAsia="zh-CN" w:bidi="hi-IN"/>
        </w:rPr>
        <w:t xml:space="preserve">nõuete </w:t>
      </w:r>
      <w:r w:rsidRPr="0067621C">
        <w:rPr>
          <w:rFonts w:eastAsia="SimSun"/>
          <w:kern w:val="1"/>
          <w:lang w:eastAsia="zh-CN" w:bidi="hi-IN"/>
        </w:rPr>
        <w:t>kohapealsete kontrollideta kontrolli te</w:t>
      </w:r>
      <w:r w:rsidR="00C06EE3">
        <w:rPr>
          <w:rFonts w:eastAsia="SimSun"/>
          <w:kern w:val="1"/>
          <w:lang w:eastAsia="zh-CN" w:bidi="hi-IN"/>
        </w:rPr>
        <w:t>geval</w:t>
      </w:r>
      <w:r w:rsidRPr="0067621C">
        <w:rPr>
          <w:rFonts w:eastAsia="SimSun"/>
          <w:kern w:val="1"/>
          <w:lang w:eastAsia="zh-CN" w:bidi="hi-IN"/>
        </w:rPr>
        <w:t xml:space="preserve"> inspektoril </w:t>
      </w:r>
      <w:r w:rsidR="00BD057F" w:rsidRPr="0067621C">
        <w:rPr>
          <w:rFonts w:eastAsia="SimSun"/>
          <w:kern w:val="1"/>
          <w:lang w:eastAsia="zh-CN" w:bidi="hi-IN"/>
        </w:rPr>
        <w:t>aruandes jälge</w:t>
      </w:r>
      <w:r w:rsidRPr="0067621C">
        <w:rPr>
          <w:rFonts w:eastAsia="SimSun"/>
          <w:kern w:val="1"/>
          <w:lang w:eastAsia="zh-CN" w:bidi="hi-IN"/>
        </w:rPr>
        <w:t xml:space="preserve">, </w:t>
      </w:r>
      <w:r w:rsidR="00BC1ECC">
        <w:rPr>
          <w:rFonts w:eastAsia="SimSun"/>
          <w:kern w:val="1"/>
          <w:lang w:eastAsia="zh-CN" w:bidi="hi-IN"/>
        </w:rPr>
        <w:t>kas</w:t>
      </w:r>
      <w:r w:rsidR="00BD057F" w:rsidRPr="0067621C">
        <w:rPr>
          <w:rFonts w:eastAsia="SimSun"/>
          <w:kern w:val="1"/>
          <w:lang w:eastAsia="zh-CN" w:bidi="hi-IN"/>
        </w:rPr>
        <w:t xml:space="preserve"> </w:t>
      </w:r>
      <w:r w:rsidRPr="0067621C">
        <w:rPr>
          <w:rFonts w:eastAsia="SimSun"/>
          <w:kern w:val="1"/>
          <w:lang w:eastAsia="zh-CN" w:bidi="hi-IN"/>
        </w:rPr>
        <w:t xml:space="preserve">naftasaaduste hoidmisehitisele kehtestatud nõuded </w:t>
      </w:r>
      <w:r w:rsidR="00BD057F" w:rsidRPr="0067621C">
        <w:rPr>
          <w:rFonts w:eastAsia="SimSun"/>
          <w:kern w:val="1"/>
          <w:lang w:eastAsia="zh-CN" w:bidi="hi-IN"/>
        </w:rPr>
        <w:t xml:space="preserve">on täidetud, sest riigisisene kontrollisüsteem erineb nõuetele vastavuse </w:t>
      </w:r>
      <w:r w:rsidR="00BC1ECC">
        <w:rPr>
          <w:rFonts w:eastAsia="SimSun"/>
          <w:kern w:val="1"/>
          <w:lang w:eastAsia="zh-CN" w:bidi="hi-IN"/>
        </w:rPr>
        <w:t xml:space="preserve">nõuete </w:t>
      </w:r>
      <w:r w:rsidR="00BD057F" w:rsidRPr="0067621C">
        <w:rPr>
          <w:rFonts w:eastAsia="SimSun"/>
          <w:kern w:val="1"/>
          <w:lang w:eastAsia="zh-CN" w:bidi="hi-IN"/>
        </w:rPr>
        <w:t>kontrollidest</w:t>
      </w:r>
      <w:r w:rsidRPr="0067621C">
        <w:rPr>
          <w:rFonts w:eastAsia="SimSun"/>
          <w:kern w:val="1"/>
          <w:lang w:eastAsia="zh-CN" w:bidi="hi-IN"/>
        </w:rPr>
        <w:t xml:space="preserve">. </w:t>
      </w:r>
    </w:p>
    <w:p w14:paraId="0D6F487C" w14:textId="77777777" w:rsidR="008F0883" w:rsidRPr="0067621C" w:rsidRDefault="008F0883" w:rsidP="00292B1F">
      <w:pPr>
        <w:jc w:val="both"/>
        <w:rPr>
          <w:rFonts w:eastAsia="SimSun"/>
          <w:kern w:val="1"/>
          <w:lang w:eastAsia="zh-CN" w:bidi="hi-IN"/>
        </w:rPr>
      </w:pPr>
    </w:p>
    <w:p w14:paraId="013C6F54" w14:textId="77777777" w:rsidR="000853E5" w:rsidRPr="0067621C" w:rsidRDefault="00292B1F" w:rsidP="002F733E">
      <w:pPr>
        <w:jc w:val="both"/>
        <w:rPr>
          <w:rFonts w:eastAsia="SimSun"/>
          <w:kern w:val="1"/>
          <w:lang w:eastAsia="zh-CN" w:bidi="hi-IN"/>
        </w:rPr>
      </w:pPr>
      <w:r w:rsidRPr="0067621C">
        <w:rPr>
          <w:rFonts w:eastAsia="SimSun"/>
          <w:kern w:val="1"/>
          <w:lang w:eastAsia="zh-CN" w:bidi="hi-IN"/>
        </w:rPr>
        <w:t xml:space="preserve">HPK </w:t>
      </w:r>
      <w:r w:rsidR="00C06EE3" w:rsidRPr="0067621C">
        <w:rPr>
          <w:rFonts w:eastAsia="SimSun"/>
          <w:kern w:val="1"/>
          <w:lang w:eastAsia="zh-CN" w:bidi="hi-IN"/>
        </w:rPr>
        <w:t xml:space="preserve">nõude </w:t>
      </w:r>
      <w:r w:rsidRPr="0067621C">
        <w:rPr>
          <w:rFonts w:eastAsia="SimSun"/>
          <w:kern w:val="1"/>
          <w:lang w:eastAsia="zh-CN" w:bidi="hi-IN"/>
        </w:rPr>
        <w:t xml:space="preserve">3 täiendamisega mõju põllumajandustootjatele </w:t>
      </w:r>
      <w:r w:rsidR="007553F2">
        <w:rPr>
          <w:rFonts w:eastAsia="SimSun"/>
          <w:kern w:val="1"/>
          <w:lang w:eastAsia="zh-CN" w:bidi="hi-IN"/>
        </w:rPr>
        <w:t>ega</w:t>
      </w:r>
      <w:r w:rsidRPr="0067621C">
        <w:rPr>
          <w:rFonts w:eastAsia="SimSun"/>
          <w:kern w:val="1"/>
          <w:lang w:eastAsia="zh-CN" w:bidi="hi-IN"/>
        </w:rPr>
        <w:t xml:space="preserve"> </w:t>
      </w:r>
      <w:r w:rsidR="00E83B9C">
        <w:rPr>
          <w:rFonts w:eastAsia="SimSun"/>
          <w:kern w:val="1"/>
          <w:lang w:eastAsia="zh-CN" w:bidi="hi-IN"/>
        </w:rPr>
        <w:t xml:space="preserve">kontrolliasutustele </w:t>
      </w:r>
      <w:r w:rsidRPr="0067621C">
        <w:rPr>
          <w:rFonts w:eastAsia="SimSun"/>
          <w:kern w:val="1"/>
          <w:lang w:eastAsia="zh-CN" w:bidi="hi-IN"/>
        </w:rPr>
        <w:t xml:space="preserve">ei kaasne. Nõude täiendamine ei too kaasa </w:t>
      </w:r>
      <w:r w:rsidR="007553F2">
        <w:rPr>
          <w:rFonts w:eastAsia="SimSun"/>
          <w:kern w:val="1"/>
          <w:lang w:eastAsia="zh-CN" w:bidi="hi-IN"/>
        </w:rPr>
        <w:t>lisakulusid</w:t>
      </w:r>
      <w:r w:rsidRPr="0067621C">
        <w:rPr>
          <w:rFonts w:eastAsia="SimSun"/>
          <w:kern w:val="1"/>
          <w:lang w:eastAsia="zh-CN" w:bidi="hi-IN"/>
        </w:rPr>
        <w:t xml:space="preserve"> põllumajandustootjale ega muutus</w:t>
      </w:r>
      <w:r w:rsidR="00CB5073">
        <w:rPr>
          <w:rFonts w:eastAsia="SimSun"/>
          <w:kern w:val="1"/>
          <w:lang w:eastAsia="zh-CN" w:bidi="hi-IN"/>
        </w:rPr>
        <w:t>i</w:t>
      </w:r>
      <w:r w:rsidRPr="0067621C">
        <w:rPr>
          <w:rFonts w:eastAsia="SimSun"/>
          <w:kern w:val="1"/>
          <w:lang w:eastAsia="zh-CN" w:bidi="hi-IN"/>
        </w:rPr>
        <w:t xml:space="preserve"> </w:t>
      </w:r>
      <w:r w:rsidR="00CB5073">
        <w:rPr>
          <w:rFonts w:eastAsia="SimSun"/>
          <w:kern w:val="1"/>
          <w:lang w:eastAsia="zh-CN" w:bidi="hi-IN"/>
        </w:rPr>
        <w:t xml:space="preserve">nõuete täitmise kontrollimises ja nõuete täitmise üle </w:t>
      </w:r>
      <w:r w:rsidRPr="0067621C">
        <w:rPr>
          <w:rFonts w:eastAsia="SimSun"/>
          <w:kern w:val="1"/>
          <w:lang w:eastAsia="zh-CN" w:bidi="hi-IN"/>
        </w:rPr>
        <w:t xml:space="preserve">järelevalve </w:t>
      </w:r>
      <w:r w:rsidR="00CB5073">
        <w:rPr>
          <w:rFonts w:eastAsia="SimSun"/>
          <w:kern w:val="1"/>
          <w:lang w:eastAsia="zh-CN" w:bidi="hi-IN"/>
        </w:rPr>
        <w:t>tegemises</w:t>
      </w:r>
      <w:r w:rsidRPr="0067621C">
        <w:rPr>
          <w:rFonts w:eastAsia="SimSun"/>
          <w:kern w:val="1"/>
          <w:lang w:eastAsia="zh-CN" w:bidi="hi-IN"/>
        </w:rPr>
        <w:t>. Eestis kehtivate õigusnormide kohaselt tuleb naftasaaduse hoiustamisel, olenemata hoiustamismahust, järgida</w:t>
      </w:r>
      <w:r w:rsidR="0047234F">
        <w:rPr>
          <w:rFonts w:eastAsia="SimSun"/>
          <w:kern w:val="1"/>
          <w:lang w:eastAsia="zh-CN" w:bidi="hi-IN"/>
        </w:rPr>
        <w:t xml:space="preserve"> </w:t>
      </w:r>
      <w:r w:rsidR="0047234F" w:rsidRPr="0047234F">
        <w:t>tööstusheiteseadusest, veeseadusest</w:t>
      </w:r>
      <w:r w:rsidR="000E5EE8">
        <w:t xml:space="preserve"> ja</w:t>
      </w:r>
      <w:r w:rsidR="0047234F" w:rsidRPr="0047234F">
        <w:t xml:space="preserve"> kemikaaliseadusest </w:t>
      </w:r>
      <w:r w:rsidRPr="0047234F">
        <w:rPr>
          <w:rFonts w:eastAsia="SimSun"/>
          <w:kern w:val="1"/>
          <w:lang w:eastAsia="zh-CN" w:bidi="hi-IN"/>
        </w:rPr>
        <w:t>tulenevaid</w:t>
      </w:r>
      <w:r w:rsidRPr="0067621C">
        <w:rPr>
          <w:rFonts w:eastAsia="SimSun"/>
          <w:kern w:val="1"/>
          <w:lang w:eastAsia="zh-CN" w:bidi="hi-IN"/>
        </w:rPr>
        <w:t xml:space="preserve"> nõudeid, et oleks tagatud keskkonnaohutus. Praktikas tähendas see </w:t>
      </w:r>
      <w:r w:rsidR="00926D9E">
        <w:rPr>
          <w:rFonts w:eastAsia="SimSun"/>
          <w:kern w:val="1"/>
          <w:lang w:eastAsia="zh-CN" w:bidi="hi-IN"/>
        </w:rPr>
        <w:t xml:space="preserve">näiteks </w:t>
      </w:r>
      <w:r w:rsidRPr="0067621C">
        <w:rPr>
          <w:rFonts w:eastAsia="SimSun"/>
          <w:kern w:val="1"/>
          <w:lang w:eastAsia="zh-CN" w:bidi="hi-IN"/>
        </w:rPr>
        <w:t xml:space="preserve">seda, et põllumajandustootja juures </w:t>
      </w:r>
      <w:r w:rsidR="00DD71FD">
        <w:rPr>
          <w:rFonts w:eastAsia="SimSun"/>
          <w:kern w:val="1"/>
          <w:lang w:eastAsia="zh-CN" w:bidi="hi-IN"/>
        </w:rPr>
        <w:t>tehtud</w:t>
      </w:r>
      <w:r w:rsidR="00DD71FD" w:rsidRPr="0067621C">
        <w:rPr>
          <w:rFonts w:eastAsia="SimSun"/>
          <w:kern w:val="1"/>
          <w:lang w:eastAsia="zh-CN" w:bidi="hi-IN"/>
        </w:rPr>
        <w:t xml:space="preserve"> </w:t>
      </w:r>
      <w:r w:rsidRPr="0067621C">
        <w:rPr>
          <w:rFonts w:eastAsia="SimSun"/>
          <w:kern w:val="1"/>
          <w:lang w:eastAsia="zh-CN" w:bidi="hi-IN"/>
        </w:rPr>
        <w:t xml:space="preserve">HPK </w:t>
      </w:r>
      <w:r w:rsidR="00C06EE3">
        <w:rPr>
          <w:rFonts w:eastAsia="SimSun"/>
          <w:kern w:val="1"/>
          <w:lang w:eastAsia="zh-CN" w:bidi="hi-IN"/>
        </w:rPr>
        <w:lastRenderedPageBreak/>
        <w:t xml:space="preserve">nõude </w:t>
      </w:r>
      <w:r w:rsidRPr="0067621C">
        <w:rPr>
          <w:rFonts w:eastAsia="SimSun"/>
          <w:kern w:val="1"/>
          <w:lang w:eastAsia="zh-CN" w:bidi="hi-IN"/>
        </w:rPr>
        <w:t xml:space="preserve">3 </w:t>
      </w:r>
      <w:r w:rsidR="00926D9E">
        <w:rPr>
          <w:rFonts w:eastAsia="SimSun"/>
          <w:kern w:val="1"/>
          <w:lang w:eastAsia="zh-CN" w:bidi="hi-IN"/>
        </w:rPr>
        <w:t>kontrolli</w:t>
      </w:r>
      <w:r w:rsidR="00926D9E" w:rsidRPr="0067621C">
        <w:rPr>
          <w:rFonts w:eastAsia="SimSun"/>
          <w:kern w:val="1"/>
          <w:lang w:eastAsia="zh-CN" w:bidi="hi-IN"/>
        </w:rPr>
        <w:t xml:space="preserve"> </w:t>
      </w:r>
      <w:r w:rsidRPr="0067621C">
        <w:rPr>
          <w:rFonts w:eastAsia="SimSun"/>
          <w:kern w:val="1"/>
          <w:lang w:eastAsia="zh-CN" w:bidi="hi-IN"/>
        </w:rPr>
        <w:t>raames selgitati välja põllumajandustootja juures tema naftasaaduste hoidmismahud ja jälgiti, et igasuguses mahus naftasaaduste hoiustamine toimuks keskkonnale ohutult ja õigusnormide</w:t>
      </w:r>
      <w:r w:rsidR="00DD71FD">
        <w:rPr>
          <w:rFonts w:eastAsia="SimSun"/>
          <w:kern w:val="1"/>
          <w:lang w:eastAsia="zh-CN" w:bidi="hi-IN"/>
        </w:rPr>
        <w:t xml:space="preserve"> kohaselt</w:t>
      </w:r>
      <w:r w:rsidRPr="0067621C">
        <w:rPr>
          <w:rFonts w:eastAsia="SimSun"/>
          <w:kern w:val="1"/>
          <w:lang w:eastAsia="zh-CN" w:bidi="hi-IN"/>
        </w:rPr>
        <w:t>. Nõude täiendamisega lisatakse kontroll</w:t>
      </w:r>
      <w:r w:rsidR="000E5EE8">
        <w:rPr>
          <w:rFonts w:eastAsia="SimSun"/>
          <w:kern w:val="1"/>
          <w:lang w:eastAsia="zh-CN" w:bidi="hi-IN"/>
        </w:rPr>
        <w:t>i</w:t>
      </w:r>
      <w:r w:rsidRPr="0067621C">
        <w:rPr>
          <w:rFonts w:eastAsia="SimSun"/>
          <w:kern w:val="1"/>
          <w:lang w:eastAsia="zh-CN" w:bidi="hi-IN"/>
        </w:rPr>
        <w:t>aruandesse kirjeldatud tegevuse kohta ka vastav märge.</w:t>
      </w:r>
    </w:p>
    <w:p w14:paraId="0687986D" w14:textId="77777777" w:rsidR="00292B1F" w:rsidRPr="0067621C" w:rsidRDefault="00292B1F" w:rsidP="002F733E">
      <w:pPr>
        <w:jc w:val="both"/>
        <w:rPr>
          <w:bCs/>
        </w:rPr>
      </w:pPr>
    </w:p>
    <w:p w14:paraId="1AEF35D7" w14:textId="77777777" w:rsidR="002D6483" w:rsidRPr="0067621C" w:rsidRDefault="002D6483" w:rsidP="002F733E">
      <w:pPr>
        <w:jc w:val="both"/>
        <w:rPr>
          <w:b/>
          <w:bCs/>
        </w:rPr>
      </w:pPr>
      <w:r w:rsidRPr="0067621C">
        <w:rPr>
          <w:b/>
          <w:bCs/>
        </w:rPr>
        <w:t>5. Määruse rakendamisega seot</w:t>
      </w:r>
      <w:r w:rsidR="000F3352" w:rsidRPr="0067621C">
        <w:rPr>
          <w:b/>
          <w:bCs/>
        </w:rPr>
        <w:t>ud tegevused, vajalikud kulu</w:t>
      </w:r>
      <w:r w:rsidRPr="0067621C">
        <w:rPr>
          <w:b/>
          <w:bCs/>
        </w:rPr>
        <w:t>d ja määruse</w:t>
      </w:r>
    </w:p>
    <w:p w14:paraId="65F12678" w14:textId="77777777" w:rsidR="002D6483" w:rsidRPr="0067621C" w:rsidRDefault="002D6483" w:rsidP="002F733E">
      <w:pPr>
        <w:jc w:val="both"/>
        <w:rPr>
          <w:b/>
          <w:bCs/>
        </w:rPr>
      </w:pPr>
      <w:r w:rsidRPr="0067621C">
        <w:rPr>
          <w:b/>
          <w:bCs/>
        </w:rPr>
        <w:t>rakendamise eeldatavad tulud</w:t>
      </w:r>
    </w:p>
    <w:p w14:paraId="6F5DAE55" w14:textId="77777777" w:rsidR="002D6483" w:rsidRPr="0067621C" w:rsidRDefault="002D6483" w:rsidP="002F733E">
      <w:pPr>
        <w:jc w:val="both"/>
        <w:rPr>
          <w:b/>
          <w:bCs/>
        </w:rPr>
      </w:pPr>
    </w:p>
    <w:p w14:paraId="77F5E837" w14:textId="77777777" w:rsidR="002D6483" w:rsidRPr="0067621C" w:rsidRDefault="007C637F" w:rsidP="002F733E">
      <w:pPr>
        <w:jc w:val="both"/>
      </w:pPr>
      <w:r w:rsidRPr="0067621C">
        <w:t>Määruse rakendamisega ei kaasne lisakulutusi riigieelarvest.</w:t>
      </w:r>
    </w:p>
    <w:p w14:paraId="2FDA7134" w14:textId="77777777" w:rsidR="002D6483" w:rsidRPr="0067621C" w:rsidRDefault="002D6483" w:rsidP="002F733E">
      <w:pPr>
        <w:jc w:val="both"/>
        <w:rPr>
          <w:b/>
          <w:bCs/>
        </w:rPr>
      </w:pPr>
    </w:p>
    <w:p w14:paraId="6A35AF08" w14:textId="77777777" w:rsidR="002D6483" w:rsidRPr="0067621C" w:rsidRDefault="002D6483" w:rsidP="002F733E">
      <w:pPr>
        <w:jc w:val="both"/>
        <w:rPr>
          <w:b/>
          <w:bCs/>
        </w:rPr>
      </w:pPr>
      <w:r w:rsidRPr="0067621C">
        <w:rPr>
          <w:b/>
          <w:bCs/>
        </w:rPr>
        <w:t>6. Määruse jõustumine</w:t>
      </w:r>
    </w:p>
    <w:p w14:paraId="2888A943" w14:textId="77777777" w:rsidR="002D6483" w:rsidRPr="0067621C" w:rsidRDefault="002D6483" w:rsidP="002F733E">
      <w:pPr>
        <w:jc w:val="both"/>
        <w:rPr>
          <w:b/>
          <w:bCs/>
        </w:rPr>
      </w:pPr>
    </w:p>
    <w:p w14:paraId="1DD243A3" w14:textId="77777777" w:rsidR="002C2E73" w:rsidRPr="002C2E73" w:rsidRDefault="002C2E73" w:rsidP="002C2E73">
      <w:pPr>
        <w:pStyle w:val="Tekst"/>
      </w:pPr>
      <w:r w:rsidRPr="002C2E73">
        <w:t xml:space="preserve">Määruse § 1 punkt 2 jõustub 1. jaanuaril 2022. </w:t>
      </w:r>
      <w:r w:rsidR="00C06EE3">
        <w:t>HPK</w:t>
      </w:r>
      <w:r>
        <w:t xml:space="preserve"> nõudeid peab täitma kalendriaasta jooksul, mistõttu saab alla 3-kuupmeetris</w:t>
      </w:r>
      <w:r w:rsidRPr="002C2E73">
        <w:t>e naftasaaduse mahuti</w:t>
      </w:r>
      <w:r w:rsidR="004057EB">
        <w:t xml:space="preserve"> kohta sätestatav</w:t>
      </w:r>
      <w:r>
        <w:t xml:space="preserve"> </w:t>
      </w:r>
      <w:r w:rsidR="00C06EE3">
        <w:t>HPK</w:t>
      </w:r>
      <w:r>
        <w:t xml:space="preserve"> </w:t>
      </w:r>
      <w:r w:rsidR="004057EB">
        <w:t>nõue</w:t>
      </w:r>
      <w:r>
        <w:t xml:space="preserve"> rakenduda alates 1. jaanuarist 2022.</w:t>
      </w:r>
    </w:p>
    <w:p w14:paraId="267984F4" w14:textId="77777777" w:rsidR="002D6483" w:rsidRPr="0067621C" w:rsidRDefault="002D6483" w:rsidP="002F733E">
      <w:pPr>
        <w:jc w:val="both"/>
      </w:pPr>
    </w:p>
    <w:p w14:paraId="1EEE5C16" w14:textId="77777777" w:rsidR="002D6483" w:rsidRPr="0067621C" w:rsidRDefault="002D6483" w:rsidP="002F733E">
      <w:pPr>
        <w:jc w:val="both"/>
        <w:rPr>
          <w:b/>
          <w:bCs/>
        </w:rPr>
      </w:pPr>
      <w:r w:rsidRPr="0067621C">
        <w:rPr>
          <w:b/>
          <w:bCs/>
        </w:rPr>
        <w:t>7. Eelnõu kooskõlastamine, huvirühmade kaasamine ja avalik konsultatsioon</w:t>
      </w:r>
    </w:p>
    <w:p w14:paraId="394F6A7F" w14:textId="77777777" w:rsidR="00434C35" w:rsidRPr="0067621C" w:rsidRDefault="00434C35" w:rsidP="002F733E">
      <w:pPr>
        <w:jc w:val="both"/>
        <w:rPr>
          <w:b/>
          <w:bCs/>
        </w:rPr>
      </w:pPr>
    </w:p>
    <w:p w14:paraId="36B54DF3" w14:textId="77777777" w:rsidR="00434C35" w:rsidRPr="0067621C" w:rsidRDefault="00434C35" w:rsidP="005C3EC6">
      <w:pPr>
        <w:jc w:val="both"/>
        <w:rPr>
          <w:bCs/>
        </w:rPr>
      </w:pPr>
      <w:r w:rsidRPr="0067621C">
        <w:rPr>
          <w:bCs/>
        </w:rPr>
        <w:t xml:space="preserve">Eelnõu </w:t>
      </w:r>
      <w:r w:rsidR="005C3EC6" w:rsidRPr="0067621C">
        <w:rPr>
          <w:bCs/>
        </w:rPr>
        <w:t xml:space="preserve">esitatakse eelnõude infosüsteemi EIS kaudu kooskõlastamiseks Rahandusministeeriumile ja </w:t>
      </w:r>
      <w:r w:rsidRPr="0067621C">
        <w:rPr>
          <w:bCs/>
        </w:rPr>
        <w:t>Keskkonnaministeeriumile</w:t>
      </w:r>
      <w:r w:rsidR="00547424">
        <w:rPr>
          <w:bCs/>
        </w:rPr>
        <w:t xml:space="preserve"> ning</w:t>
      </w:r>
      <w:r w:rsidR="00547424" w:rsidRPr="00547424">
        <w:rPr>
          <w:bCs/>
        </w:rPr>
        <w:t xml:space="preserve"> </w:t>
      </w:r>
      <w:r w:rsidR="00547424" w:rsidRPr="0067621C">
        <w:rPr>
          <w:bCs/>
        </w:rPr>
        <w:t>arvamuse saamiseks Põllumajanduse Registri</w:t>
      </w:r>
      <w:r w:rsidR="00547424">
        <w:rPr>
          <w:bCs/>
        </w:rPr>
        <w:t>te ja Informatsiooni Ametile</w:t>
      </w:r>
      <w:r w:rsidRPr="0067621C">
        <w:rPr>
          <w:bCs/>
        </w:rPr>
        <w:t xml:space="preserve">. </w:t>
      </w:r>
    </w:p>
    <w:p w14:paraId="647C2583" w14:textId="77777777" w:rsidR="002D6483" w:rsidRPr="0067621C" w:rsidRDefault="002D6483" w:rsidP="002F733E">
      <w:pPr>
        <w:jc w:val="both"/>
      </w:pPr>
    </w:p>
    <w:p w14:paraId="09B80250" w14:textId="77777777" w:rsidR="00CD1DE1" w:rsidRPr="0067621C" w:rsidRDefault="00CD1DE1" w:rsidP="000519C2">
      <w:pPr>
        <w:jc w:val="both"/>
      </w:pPr>
    </w:p>
    <w:sectPr w:rsidR="00CD1DE1" w:rsidRPr="0067621C" w:rsidSect="004D33AE">
      <w:footerReference w:type="default" r:id="rId7"/>
      <w:pgSz w:w="11906" w:h="16838"/>
      <w:pgMar w:top="568" w:right="849" w:bottom="993" w:left="1800" w:header="708" w:footer="708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D3DFB0" w14:textId="77777777" w:rsidR="00FB684B" w:rsidRDefault="00FB684B" w:rsidP="008F0883">
      <w:r>
        <w:separator/>
      </w:r>
    </w:p>
  </w:endnote>
  <w:endnote w:type="continuationSeparator" w:id="0">
    <w:p w14:paraId="113AC7E9" w14:textId="77777777" w:rsidR="00FB684B" w:rsidRDefault="00FB684B" w:rsidP="008F0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5119746"/>
      <w:docPartObj>
        <w:docPartGallery w:val="Page Numbers (Bottom of Page)"/>
        <w:docPartUnique/>
      </w:docPartObj>
    </w:sdtPr>
    <w:sdtEndPr/>
    <w:sdtContent>
      <w:p w14:paraId="05BBA17B" w14:textId="2D75F259" w:rsidR="008F0883" w:rsidRDefault="008F088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574">
          <w:rPr>
            <w:noProof/>
          </w:rPr>
          <w:t>1</w:t>
        </w:r>
        <w:r>
          <w:fldChar w:fldCharType="end"/>
        </w:r>
      </w:p>
    </w:sdtContent>
  </w:sdt>
  <w:p w14:paraId="0A2EA229" w14:textId="77777777" w:rsidR="008F0883" w:rsidRDefault="008F08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39DA9" w14:textId="77777777" w:rsidR="00FB684B" w:rsidRDefault="00FB684B" w:rsidP="008F0883">
      <w:r>
        <w:separator/>
      </w:r>
    </w:p>
  </w:footnote>
  <w:footnote w:type="continuationSeparator" w:id="0">
    <w:p w14:paraId="053B6D6B" w14:textId="77777777" w:rsidR="00FB684B" w:rsidRDefault="00FB684B" w:rsidP="008F0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3E"/>
    <w:rsid w:val="000045F5"/>
    <w:rsid w:val="00010888"/>
    <w:rsid w:val="000139FB"/>
    <w:rsid w:val="00017A49"/>
    <w:rsid w:val="00022791"/>
    <w:rsid w:val="000251EB"/>
    <w:rsid w:val="00031DF6"/>
    <w:rsid w:val="0003237F"/>
    <w:rsid w:val="00045025"/>
    <w:rsid w:val="00047597"/>
    <w:rsid w:val="000519C2"/>
    <w:rsid w:val="0006014D"/>
    <w:rsid w:val="000766F1"/>
    <w:rsid w:val="000853E5"/>
    <w:rsid w:val="000B0F8E"/>
    <w:rsid w:val="000C52F2"/>
    <w:rsid w:val="000E5EE8"/>
    <w:rsid w:val="000F3352"/>
    <w:rsid w:val="000F58AC"/>
    <w:rsid w:val="000F61DF"/>
    <w:rsid w:val="001017C9"/>
    <w:rsid w:val="00102000"/>
    <w:rsid w:val="00115BAA"/>
    <w:rsid w:val="00117EC8"/>
    <w:rsid w:val="001226BB"/>
    <w:rsid w:val="001228C2"/>
    <w:rsid w:val="001421D7"/>
    <w:rsid w:val="00145E28"/>
    <w:rsid w:val="00153530"/>
    <w:rsid w:val="001574A7"/>
    <w:rsid w:val="0016374A"/>
    <w:rsid w:val="001656A1"/>
    <w:rsid w:val="001671FF"/>
    <w:rsid w:val="001728C4"/>
    <w:rsid w:val="00175753"/>
    <w:rsid w:val="0018296C"/>
    <w:rsid w:val="00185738"/>
    <w:rsid w:val="001A29C3"/>
    <w:rsid w:val="001A7E64"/>
    <w:rsid w:val="001B4F26"/>
    <w:rsid w:val="001D4A6F"/>
    <w:rsid w:val="001D6186"/>
    <w:rsid w:val="001E4D57"/>
    <w:rsid w:val="001F633F"/>
    <w:rsid w:val="00207467"/>
    <w:rsid w:val="002224C9"/>
    <w:rsid w:val="002229CF"/>
    <w:rsid w:val="00230B05"/>
    <w:rsid w:val="002331C7"/>
    <w:rsid w:val="00260967"/>
    <w:rsid w:val="00292B1F"/>
    <w:rsid w:val="002A152E"/>
    <w:rsid w:val="002A60FB"/>
    <w:rsid w:val="002B02B3"/>
    <w:rsid w:val="002C2E73"/>
    <w:rsid w:val="002D6483"/>
    <w:rsid w:val="002E4117"/>
    <w:rsid w:val="002E7C4D"/>
    <w:rsid w:val="002F4628"/>
    <w:rsid w:val="002F733E"/>
    <w:rsid w:val="00326D82"/>
    <w:rsid w:val="00330CE2"/>
    <w:rsid w:val="0034757A"/>
    <w:rsid w:val="00351268"/>
    <w:rsid w:val="003729B5"/>
    <w:rsid w:val="00382022"/>
    <w:rsid w:val="003D32AE"/>
    <w:rsid w:val="003E541C"/>
    <w:rsid w:val="003E6BC1"/>
    <w:rsid w:val="003F2CE1"/>
    <w:rsid w:val="004057EB"/>
    <w:rsid w:val="00407015"/>
    <w:rsid w:val="00434C35"/>
    <w:rsid w:val="0044292F"/>
    <w:rsid w:val="0047234F"/>
    <w:rsid w:val="004813F9"/>
    <w:rsid w:val="00484535"/>
    <w:rsid w:val="0048669B"/>
    <w:rsid w:val="00495AFD"/>
    <w:rsid w:val="004B3C50"/>
    <w:rsid w:val="004C0855"/>
    <w:rsid w:val="004C54F7"/>
    <w:rsid w:val="004D1C8B"/>
    <w:rsid w:val="004D33AE"/>
    <w:rsid w:val="004D638D"/>
    <w:rsid w:val="004E698B"/>
    <w:rsid w:val="004E70D8"/>
    <w:rsid w:val="00501621"/>
    <w:rsid w:val="00524F09"/>
    <w:rsid w:val="005262C0"/>
    <w:rsid w:val="00530BF0"/>
    <w:rsid w:val="00544863"/>
    <w:rsid w:val="00547424"/>
    <w:rsid w:val="00547ADF"/>
    <w:rsid w:val="0055591A"/>
    <w:rsid w:val="005560E8"/>
    <w:rsid w:val="00566C48"/>
    <w:rsid w:val="005B4042"/>
    <w:rsid w:val="005B4A9D"/>
    <w:rsid w:val="005B607A"/>
    <w:rsid w:val="005C19A8"/>
    <w:rsid w:val="005C3EC6"/>
    <w:rsid w:val="005C5497"/>
    <w:rsid w:val="005D418C"/>
    <w:rsid w:val="0060581A"/>
    <w:rsid w:val="0061643E"/>
    <w:rsid w:val="00617870"/>
    <w:rsid w:val="00621440"/>
    <w:rsid w:val="00643B80"/>
    <w:rsid w:val="006644CE"/>
    <w:rsid w:val="0067621C"/>
    <w:rsid w:val="00685EF0"/>
    <w:rsid w:val="00690B0F"/>
    <w:rsid w:val="006A2A3B"/>
    <w:rsid w:val="006A3DD7"/>
    <w:rsid w:val="006B29D9"/>
    <w:rsid w:val="006C2538"/>
    <w:rsid w:val="006D2D61"/>
    <w:rsid w:val="006D6790"/>
    <w:rsid w:val="00700326"/>
    <w:rsid w:val="007020E8"/>
    <w:rsid w:val="00730F9D"/>
    <w:rsid w:val="007372ED"/>
    <w:rsid w:val="00740545"/>
    <w:rsid w:val="007459B6"/>
    <w:rsid w:val="007553F2"/>
    <w:rsid w:val="0075733A"/>
    <w:rsid w:val="00771C6E"/>
    <w:rsid w:val="007868E7"/>
    <w:rsid w:val="00787D2A"/>
    <w:rsid w:val="0079334B"/>
    <w:rsid w:val="0079735F"/>
    <w:rsid w:val="007A6FCA"/>
    <w:rsid w:val="007B6836"/>
    <w:rsid w:val="007C637F"/>
    <w:rsid w:val="007D0577"/>
    <w:rsid w:val="007E0038"/>
    <w:rsid w:val="007E6E96"/>
    <w:rsid w:val="00804D32"/>
    <w:rsid w:val="00810105"/>
    <w:rsid w:val="00810CCC"/>
    <w:rsid w:val="008158FA"/>
    <w:rsid w:val="00816ECA"/>
    <w:rsid w:val="00817993"/>
    <w:rsid w:val="0082797E"/>
    <w:rsid w:val="008418EA"/>
    <w:rsid w:val="0088143E"/>
    <w:rsid w:val="008859EE"/>
    <w:rsid w:val="00885FD0"/>
    <w:rsid w:val="00886292"/>
    <w:rsid w:val="0089524F"/>
    <w:rsid w:val="008A77D1"/>
    <w:rsid w:val="008B1AF5"/>
    <w:rsid w:val="008B3A55"/>
    <w:rsid w:val="008D4F34"/>
    <w:rsid w:val="008E62E3"/>
    <w:rsid w:val="008F0883"/>
    <w:rsid w:val="008F25AF"/>
    <w:rsid w:val="00901223"/>
    <w:rsid w:val="009248EA"/>
    <w:rsid w:val="00926D9E"/>
    <w:rsid w:val="009324D1"/>
    <w:rsid w:val="00952291"/>
    <w:rsid w:val="00953DBA"/>
    <w:rsid w:val="00953EC4"/>
    <w:rsid w:val="00957338"/>
    <w:rsid w:val="00960C62"/>
    <w:rsid w:val="009700FD"/>
    <w:rsid w:val="00973814"/>
    <w:rsid w:val="009874ED"/>
    <w:rsid w:val="00990EA8"/>
    <w:rsid w:val="00991574"/>
    <w:rsid w:val="00991815"/>
    <w:rsid w:val="00996415"/>
    <w:rsid w:val="009A3E06"/>
    <w:rsid w:val="009E48B3"/>
    <w:rsid w:val="00A03B54"/>
    <w:rsid w:val="00A04B41"/>
    <w:rsid w:val="00A1685B"/>
    <w:rsid w:val="00A22542"/>
    <w:rsid w:val="00A2660C"/>
    <w:rsid w:val="00A27563"/>
    <w:rsid w:val="00A9725D"/>
    <w:rsid w:val="00AA4C07"/>
    <w:rsid w:val="00AA6E34"/>
    <w:rsid w:val="00AE0673"/>
    <w:rsid w:val="00AF55C3"/>
    <w:rsid w:val="00B0005D"/>
    <w:rsid w:val="00B0132A"/>
    <w:rsid w:val="00B20A4C"/>
    <w:rsid w:val="00B25375"/>
    <w:rsid w:val="00B47908"/>
    <w:rsid w:val="00B64551"/>
    <w:rsid w:val="00BA2A6E"/>
    <w:rsid w:val="00BB7006"/>
    <w:rsid w:val="00BC1ECC"/>
    <w:rsid w:val="00BD057F"/>
    <w:rsid w:val="00BD5EBB"/>
    <w:rsid w:val="00BD75A8"/>
    <w:rsid w:val="00BE7847"/>
    <w:rsid w:val="00BF1CE5"/>
    <w:rsid w:val="00C00811"/>
    <w:rsid w:val="00C03C1E"/>
    <w:rsid w:val="00C05CA0"/>
    <w:rsid w:val="00C0660D"/>
    <w:rsid w:val="00C06EE3"/>
    <w:rsid w:val="00C243FB"/>
    <w:rsid w:val="00C3495A"/>
    <w:rsid w:val="00C35F2F"/>
    <w:rsid w:val="00C41D4D"/>
    <w:rsid w:val="00C46C44"/>
    <w:rsid w:val="00C55EF0"/>
    <w:rsid w:val="00CB2727"/>
    <w:rsid w:val="00CB5073"/>
    <w:rsid w:val="00CB515B"/>
    <w:rsid w:val="00CC0E77"/>
    <w:rsid w:val="00CD1DE1"/>
    <w:rsid w:val="00CE3514"/>
    <w:rsid w:val="00CE3A3D"/>
    <w:rsid w:val="00CF375B"/>
    <w:rsid w:val="00D1696B"/>
    <w:rsid w:val="00D32FDB"/>
    <w:rsid w:val="00D4709E"/>
    <w:rsid w:val="00D56C87"/>
    <w:rsid w:val="00D60AB0"/>
    <w:rsid w:val="00D807AB"/>
    <w:rsid w:val="00D87065"/>
    <w:rsid w:val="00DB4582"/>
    <w:rsid w:val="00DB700D"/>
    <w:rsid w:val="00DC439C"/>
    <w:rsid w:val="00DD033D"/>
    <w:rsid w:val="00DD71FD"/>
    <w:rsid w:val="00E03103"/>
    <w:rsid w:val="00E07689"/>
    <w:rsid w:val="00E131ED"/>
    <w:rsid w:val="00E13E9F"/>
    <w:rsid w:val="00E15D9D"/>
    <w:rsid w:val="00E3103D"/>
    <w:rsid w:val="00E71A7B"/>
    <w:rsid w:val="00E7278F"/>
    <w:rsid w:val="00E76010"/>
    <w:rsid w:val="00E77D30"/>
    <w:rsid w:val="00E8206E"/>
    <w:rsid w:val="00E820C7"/>
    <w:rsid w:val="00E83B9C"/>
    <w:rsid w:val="00E85196"/>
    <w:rsid w:val="00E94855"/>
    <w:rsid w:val="00EA088E"/>
    <w:rsid w:val="00EA2D03"/>
    <w:rsid w:val="00EA4A9B"/>
    <w:rsid w:val="00EC57E9"/>
    <w:rsid w:val="00F0763F"/>
    <w:rsid w:val="00F11991"/>
    <w:rsid w:val="00F2251A"/>
    <w:rsid w:val="00F24D03"/>
    <w:rsid w:val="00F252D7"/>
    <w:rsid w:val="00F56234"/>
    <w:rsid w:val="00FA7F23"/>
    <w:rsid w:val="00FB684B"/>
    <w:rsid w:val="00FC3E14"/>
    <w:rsid w:val="00FC43A7"/>
    <w:rsid w:val="00FC5628"/>
    <w:rsid w:val="00FE0CF5"/>
    <w:rsid w:val="00FF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2D3E7C4"/>
  <w15:docId w15:val="{A7613312-D5E8-4FFD-BAC6-A3BA55490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6F1"/>
    <w:pPr>
      <w:autoSpaceDE w:val="0"/>
      <w:autoSpaceDN w:val="0"/>
    </w:pPr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66F1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766F1"/>
    <w:pPr>
      <w:keepNext/>
      <w:ind w:left="-148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766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766F1"/>
    <w:rPr>
      <w:rFonts w:ascii="Cambria" w:hAnsi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0766F1"/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0766F1"/>
    <w:rPr>
      <w:rFonts w:ascii="Cambria" w:hAnsi="Cambria"/>
      <w:b/>
      <w:bCs/>
      <w:sz w:val="26"/>
      <w:szCs w:val="26"/>
      <w:lang w:eastAsia="en-US"/>
    </w:rPr>
  </w:style>
  <w:style w:type="paragraph" w:styleId="NoSpacing">
    <w:name w:val="No Spacing"/>
    <w:uiPriority w:val="1"/>
    <w:qFormat/>
    <w:rsid w:val="000766F1"/>
    <w:pPr>
      <w:autoSpaceDE w:val="0"/>
      <w:autoSpaceDN w:val="0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766F1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IntenseEmphasis">
    <w:name w:val="Intense Emphasis"/>
    <w:uiPriority w:val="21"/>
    <w:qFormat/>
    <w:rsid w:val="000766F1"/>
    <w:rPr>
      <w:b/>
      <w:bCs/>
      <w:i/>
      <w:iCs/>
      <w:color w:val="4F81BD"/>
    </w:rPr>
  </w:style>
  <w:style w:type="character" w:styleId="Emphasis">
    <w:name w:val="Emphasis"/>
    <w:basedOn w:val="DefaultParagraphFont"/>
    <w:uiPriority w:val="20"/>
    <w:qFormat/>
    <w:rsid w:val="000766F1"/>
    <w:rPr>
      <w:i/>
      <w:iCs/>
    </w:rPr>
  </w:style>
  <w:style w:type="character" w:styleId="Hyperlink">
    <w:name w:val="Hyperlink"/>
    <w:basedOn w:val="DefaultParagraphFont"/>
    <w:unhideWhenUsed/>
    <w:rsid w:val="00FF108D"/>
    <w:rPr>
      <w:color w:val="0000FF" w:themeColor="hyperlink"/>
      <w:u w:val="single"/>
    </w:rPr>
  </w:style>
  <w:style w:type="paragraph" w:customStyle="1" w:styleId="Standard">
    <w:name w:val="Standard"/>
    <w:rsid w:val="001017C9"/>
    <w:pPr>
      <w:widowControl w:val="0"/>
      <w:suppressAutoHyphens/>
    </w:pPr>
    <w:rPr>
      <w:rFonts w:ascii="Times New Roman" w:hAnsi="Times New Roman" w:cs="Tahoma"/>
      <w:kern w:val="2"/>
      <w:sz w:val="24"/>
      <w:szCs w:val="24"/>
      <w:lang w:val="de-DE" w:eastAsia="ja-JP" w:bidi="fa-IR"/>
    </w:rPr>
  </w:style>
  <w:style w:type="paragraph" w:styleId="BalloonText">
    <w:name w:val="Balloon Text"/>
    <w:basedOn w:val="Normal"/>
    <w:link w:val="BalloonTextChar"/>
    <w:semiHidden/>
    <w:unhideWhenUsed/>
    <w:rsid w:val="00117E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17EC8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30F9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30F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30F9D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30F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30F9D"/>
    <w:rPr>
      <w:rFonts w:ascii="Times New Roman" w:hAnsi="Times New Roman"/>
      <w:b/>
      <w:bCs/>
      <w:lang w:eastAsia="en-US"/>
    </w:rPr>
  </w:style>
  <w:style w:type="paragraph" w:customStyle="1" w:styleId="Default">
    <w:name w:val="Default"/>
    <w:rsid w:val="00730F9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ekst">
    <w:name w:val="Tekst"/>
    <w:autoRedefine/>
    <w:qFormat/>
    <w:rsid w:val="003E541C"/>
    <w:pPr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nhideWhenUsed/>
    <w:rsid w:val="008F088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8F0883"/>
    <w:rPr>
      <w:rFonts w:ascii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F088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0883"/>
    <w:rPr>
      <w:rFonts w:ascii="Times New Roman" w:hAnsi="Times New Roman"/>
      <w:sz w:val="24"/>
      <w:szCs w:val="24"/>
      <w:lang w:eastAsia="en-US"/>
    </w:rPr>
  </w:style>
  <w:style w:type="character" w:styleId="FollowedHyperlink">
    <w:name w:val="FollowedHyperlink"/>
    <w:basedOn w:val="DefaultParagraphFont"/>
    <w:semiHidden/>
    <w:unhideWhenUsed/>
    <w:rsid w:val="001D4A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8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5D297-9476-4BD9-A04C-5F7CF8D49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1230</Words>
  <Characters>7136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Põllumajandusministeerium</Company>
  <LinksUpToDate>false</LinksUpToDate>
  <CharactersWithSpaces>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Siim Suure</dc:creator>
  <cp:lastModifiedBy>Siim Suure</cp:lastModifiedBy>
  <cp:revision>2</cp:revision>
  <cp:lastPrinted>2014-08-25T10:51:00Z</cp:lastPrinted>
  <dcterms:created xsi:type="dcterms:W3CDTF">2021-11-25T10:41:00Z</dcterms:created>
  <dcterms:modified xsi:type="dcterms:W3CDTF">2021-11-25T10:41:00Z</dcterms:modified>
</cp:coreProperties>
</file>