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0C663" w14:textId="77777777" w:rsidR="00162496" w:rsidRPr="007828CB" w:rsidRDefault="00162496" w:rsidP="00162496">
      <w:pPr>
        <w:jc w:val="right"/>
        <w:rPr>
          <w:sz w:val="20"/>
          <w:szCs w:val="20"/>
        </w:rPr>
      </w:pPr>
      <w:bookmarkStart w:id="0" w:name="_GoBack"/>
      <w:bookmarkEnd w:id="0"/>
      <w:r w:rsidRPr="007828CB">
        <w:rPr>
          <w:sz w:val="20"/>
          <w:szCs w:val="20"/>
        </w:rPr>
        <w:t xml:space="preserve">Põllumajandusministri </w:t>
      </w:r>
      <w:r w:rsidR="00330CC5" w:rsidRPr="007828CB">
        <w:rPr>
          <w:sz w:val="20"/>
          <w:szCs w:val="20"/>
        </w:rPr>
        <w:t>13</w:t>
      </w:r>
      <w:r w:rsidR="00D6329E" w:rsidRPr="007828CB">
        <w:rPr>
          <w:sz w:val="20"/>
          <w:szCs w:val="20"/>
        </w:rPr>
        <w:t>.</w:t>
      </w:r>
      <w:r w:rsidR="00330CC5" w:rsidRPr="007828CB">
        <w:rPr>
          <w:sz w:val="20"/>
          <w:szCs w:val="20"/>
        </w:rPr>
        <w:t>03</w:t>
      </w:r>
      <w:r w:rsidR="00D6329E" w:rsidRPr="007828CB">
        <w:rPr>
          <w:sz w:val="20"/>
          <w:szCs w:val="20"/>
        </w:rPr>
        <w:t>.</w:t>
      </w:r>
      <w:r w:rsidRPr="007828CB">
        <w:rPr>
          <w:sz w:val="20"/>
          <w:szCs w:val="20"/>
        </w:rPr>
        <w:t xml:space="preserve">2015 määrus nr </w:t>
      </w:r>
      <w:r w:rsidR="00330CC5" w:rsidRPr="007828CB">
        <w:rPr>
          <w:sz w:val="20"/>
          <w:szCs w:val="20"/>
        </w:rPr>
        <w:t>25</w:t>
      </w:r>
    </w:p>
    <w:p w14:paraId="516798B5" w14:textId="401C309E" w:rsidR="00162496" w:rsidRPr="007828CB" w:rsidRDefault="00FC14CE" w:rsidP="00162496">
      <w:pPr>
        <w:jc w:val="right"/>
        <w:rPr>
          <w:sz w:val="20"/>
          <w:szCs w:val="20"/>
        </w:rPr>
      </w:pPr>
      <w:r w:rsidRPr="007828CB">
        <w:rPr>
          <w:bCs/>
          <w:sz w:val="20"/>
          <w:szCs w:val="20"/>
        </w:rPr>
        <w:t>„</w:t>
      </w:r>
      <w:r w:rsidR="00162496" w:rsidRPr="007828CB">
        <w:rPr>
          <w:bCs/>
          <w:sz w:val="20"/>
          <w:szCs w:val="20"/>
        </w:rPr>
        <w:t>M</w:t>
      </w:r>
      <w:r w:rsidR="00162496" w:rsidRPr="007828CB">
        <w:rPr>
          <w:sz w:val="20"/>
          <w:szCs w:val="20"/>
        </w:rPr>
        <w:t xml:space="preserve">aapiirkonnas majandustegevuse mitmekesistamise </w:t>
      </w:r>
    </w:p>
    <w:p w14:paraId="0E5A424E" w14:textId="1481F644" w:rsidR="00CD1DE1" w:rsidRPr="007828CB" w:rsidRDefault="00162496" w:rsidP="00162496">
      <w:pPr>
        <w:jc w:val="right"/>
        <w:rPr>
          <w:bCs/>
          <w:sz w:val="20"/>
          <w:szCs w:val="20"/>
        </w:rPr>
      </w:pPr>
      <w:r w:rsidRPr="007828CB">
        <w:rPr>
          <w:sz w:val="20"/>
          <w:szCs w:val="20"/>
        </w:rPr>
        <w:t xml:space="preserve">investeeringutoetuse </w:t>
      </w:r>
      <w:r w:rsidRPr="007828CB">
        <w:rPr>
          <w:bCs/>
          <w:sz w:val="20"/>
          <w:szCs w:val="20"/>
        </w:rPr>
        <w:t>andmise ja kasutamise tingimused ning kord</w:t>
      </w:r>
      <w:r w:rsidR="00FC14CE" w:rsidRPr="007828CB">
        <w:rPr>
          <w:bCs/>
          <w:sz w:val="20"/>
          <w:szCs w:val="20"/>
        </w:rPr>
        <w:t>“</w:t>
      </w:r>
    </w:p>
    <w:p w14:paraId="37AE690D" w14:textId="77777777" w:rsidR="00162496" w:rsidRPr="007828CB" w:rsidRDefault="00162496" w:rsidP="00162496">
      <w:pPr>
        <w:jc w:val="right"/>
        <w:rPr>
          <w:sz w:val="20"/>
          <w:szCs w:val="20"/>
        </w:rPr>
      </w:pPr>
      <w:r w:rsidRPr="007828CB">
        <w:rPr>
          <w:sz w:val="20"/>
          <w:szCs w:val="20"/>
        </w:rPr>
        <w:t>Lisa</w:t>
      </w:r>
    </w:p>
    <w:p w14:paraId="3900F2D6" w14:textId="2502F11C" w:rsidR="00F25F92" w:rsidRPr="007828CB" w:rsidRDefault="00F25F92" w:rsidP="00162496">
      <w:pPr>
        <w:jc w:val="right"/>
        <w:rPr>
          <w:sz w:val="20"/>
          <w:szCs w:val="20"/>
        </w:rPr>
      </w:pPr>
      <w:r w:rsidRPr="007828CB">
        <w:rPr>
          <w:sz w:val="20"/>
          <w:szCs w:val="20"/>
        </w:rPr>
        <w:t xml:space="preserve">(maaeluministri </w:t>
      </w:r>
      <w:r w:rsidR="00A8525C" w:rsidRPr="007828CB">
        <w:rPr>
          <w:sz w:val="20"/>
          <w:szCs w:val="20"/>
          <w:highlight w:val="lightGray"/>
        </w:rPr>
        <w:t>dd.mm.</w:t>
      </w:r>
      <w:r w:rsidRPr="007828CB">
        <w:rPr>
          <w:sz w:val="20"/>
          <w:szCs w:val="20"/>
          <w:highlight w:val="lightGray"/>
        </w:rPr>
        <w:t>20</w:t>
      </w:r>
      <w:r w:rsidR="00A8525C" w:rsidRPr="007828CB">
        <w:rPr>
          <w:sz w:val="20"/>
          <w:szCs w:val="20"/>
          <w:highlight w:val="lightGray"/>
        </w:rPr>
        <w:t>21</w:t>
      </w:r>
      <w:r w:rsidRPr="007828CB">
        <w:rPr>
          <w:sz w:val="20"/>
          <w:szCs w:val="20"/>
        </w:rPr>
        <w:t xml:space="preserve"> määruse nr </w:t>
      </w:r>
      <w:r w:rsidR="00A8525C" w:rsidRPr="007828CB">
        <w:rPr>
          <w:sz w:val="20"/>
          <w:szCs w:val="20"/>
          <w:highlight w:val="lightGray"/>
        </w:rPr>
        <w:t>xx</w:t>
      </w:r>
      <w:r w:rsidR="00A8525C" w:rsidRPr="007828CB">
        <w:rPr>
          <w:sz w:val="20"/>
          <w:szCs w:val="20"/>
        </w:rPr>
        <w:t xml:space="preserve"> </w:t>
      </w:r>
      <w:r w:rsidRPr="007828CB">
        <w:rPr>
          <w:sz w:val="20"/>
          <w:szCs w:val="20"/>
        </w:rPr>
        <w:t xml:space="preserve">sõnastuses) </w:t>
      </w:r>
    </w:p>
    <w:p w14:paraId="7CE87318" w14:textId="77777777" w:rsidR="008E61CD" w:rsidRPr="007828CB" w:rsidRDefault="008E61CD" w:rsidP="00162496">
      <w:pPr>
        <w:jc w:val="right"/>
        <w:rPr>
          <w:sz w:val="20"/>
          <w:szCs w:val="20"/>
        </w:rPr>
      </w:pPr>
    </w:p>
    <w:p w14:paraId="7470D0C8" w14:textId="77777777" w:rsidR="00162496" w:rsidRPr="008D6352" w:rsidRDefault="00162496" w:rsidP="00162496">
      <w:pPr>
        <w:jc w:val="right"/>
        <w:rPr>
          <w:sz w:val="22"/>
          <w:szCs w:val="22"/>
        </w:rPr>
      </w:pPr>
    </w:p>
    <w:p w14:paraId="27068F14" w14:textId="2321233E" w:rsidR="00162496" w:rsidRDefault="00162496" w:rsidP="00162496">
      <w:pPr>
        <w:jc w:val="center"/>
        <w:rPr>
          <w:b/>
        </w:rPr>
      </w:pPr>
      <w:r w:rsidRPr="00F1775E">
        <w:rPr>
          <w:b/>
        </w:rPr>
        <w:t>TAOTLUS</w:t>
      </w:r>
      <w:r w:rsidR="00300FFD">
        <w:rPr>
          <w:b/>
        </w:rPr>
        <w:t>T</w:t>
      </w:r>
      <w:r w:rsidRPr="00F1775E">
        <w:rPr>
          <w:b/>
        </w:rPr>
        <w:t>E HINDAMISE KRITEERIUMID</w:t>
      </w:r>
    </w:p>
    <w:p w14:paraId="4951CBA1" w14:textId="7EE6830C" w:rsidR="004B7CB0" w:rsidRDefault="004B7CB0" w:rsidP="00162496">
      <w:pPr>
        <w:jc w:val="center"/>
        <w:rPr>
          <w:b/>
        </w:rPr>
      </w:pPr>
      <w:r>
        <w:rPr>
          <w:b/>
        </w:rPr>
        <w:t>MAAPIIRKONNAS MAJANDUSTEGEVUSE MITMEKESISTAMISE INVESTEERINGUTOETUS</w:t>
      </w:r>
    </w:p>
    <w:p w14:paraId="6C3E723F" w14:textId="77777777" w:rsidR="001479C5" w:rsidRPr="00F1775E" w:rsidRDefault="001479C5" w:rsidP="00162496">
      <w:pPr>
        <w:jc w:val="center"/>
        <w:rPr>
          <w:b/>
        </w:rPr>
      </w:pPr>
    </w:p>
    <w:p w14:paraId="41ABC702" w14:textId="77777777" w:rsidR="00162496" w:rsidRPr="00F1775E" w:rsidRDefault="00162496" w:rsidP="00162496">
      <w:pPr>
        <w:jc w:val="both"/>
      </w:pPr>
    </w:p>
    <w:tbl>
      <w:tblPr>
        <w:tblW w:w="14176" w:type="dxa"/>
        <w:tblInd w:w="-28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851"/>
        <w:gridCol w:w="709"/>
        <w:gridCol w:w="1418"/>
        <w:gridCol w:w="2835"/>
        <w:gridCol w:w="7371"/>
        <w:gridCol w:w="992"/>
      </w:tblGrid>
      <w:tr w:rsidR="0004008D" w:rsidRPr="0032399A" w14:paraId="37FB2938" w14:textId="77777777" w:rsidTr="008F05F8">
        <w:trPr>
          <w:trHeight w:val="788"/>
        </w:trPr>
        <w:tc>
          <w:tcPr>
            <w:tcW w:w="851" w:type="dxa"/>
            <w:shd w:val="clear" w:color="auto" w:fill="auto"/>
            <w:vAlign w:val="center"/>
            <w:hideMark/>
          </w:tcPr>
          <w:p w14:paraId="75FE8246" w14:textId="1F25B963" w:rsidR="00162496" w:rsidRPr="007828CB" w:rsidRDefault="00300FFD" w:rsidP="00162496">
            <w:pPr>
              <w:autoSpaceDE/>
              <w:autoSpaceDN/>
              <w:jc w:val="center"/>
              <w:rPr>
                <w:b/>
                <w:bCs/>
                <w:lang w:eastAsia="et-EE"/>
              </w:rPr>
            </w:pPr>
            <w:r w:rsidRPr="007828CB">
              <w:rPr>
                <w:b/>
                <w:bCs/>
                <w:lang w:eastAsia="et-EE"/>
              </w:rPr>
              <w:t>Punkt</w:t>
            </w:r>
          </w:p>
        </w:tc>
        <w:tc>
          <w:tcPr>
            <w:tcW w:w="709" w:type="dxa"/>
            <w:shd w:val="clear" w:color="auto" w:fill="auto"/>
            <w:vAlign w:val="center"/>
            <w:hideMark/>
          </w:tcPr>
          <w:p w14:paraId="3FD89C82" w14:textId="71575430" w:rsidR="00162496" w:rsidRPr="007828CB" w:rsidRDefault="00162496" w:rsidP="0034005E">
            <w:pPr>
              <w:autoSpaceDE/>
              <w:autoSpaceDN/>
              <w:jc w:val="center"/>
              <w:rPr>
                <w:b/>
                <w:bCs/>
                <w:lang w:eastAsia="et-EE"/>
              </w:rPr>
            </w:pPr>
            <w:r w:rsidRPr="007828CB">
              <w:rPr>
                <w:b/>
                <w:bCs/>
                <w:lang w:eastAsia="et-EE"/>
              </w:rPr>
              <w:t>R</w:t>
            </w:r>
            <w:r w:rsidR="004F5529">
              <w:rPr>
                <w:b/>
                <w:bCs/>
                <w:lang w:eastAsia="et-EE"/>
              </w:rPr>
              <w:t>id</w:t>
            </w:r>
            <w:r w:rsidRPr="007828CB">
              <w:rPr>
                <w:b/>
                <w:bCs/>
                <w:lang w:eastAsia="et-EE"/>
              </w:rPr>
              <w:t xml:space="preserve">a </w:t>
            </w:r>
          </w:p>
        </w:tc>
        <w:tc>
          <w:tcPr>
            <w:tcW w:w="1418" w:type="dxa"/>
            <w:tcBorders>
              <w:bottom w:val="single" w:sz="4" w:space="0" w:color="7F7F7F" w:themeColor="text1" w:themeTint="80"/>
            </w:tcBorders>
            <w:shd w:val="clear" w:color="auto" w:fill="auto"/>
            <w:vAlign w:val="center"/>
            <w:hideMark/>
          </w:tcPr>
          <w:p w14:paraId="73F90269" w14:textId="011FE337" w:rsidR="00162496" w:rsidRPr="007828CB" w:rsidRDefault="00162496" w:rsidP="00162496">
            <w:pPr>
              <w:autoSpaceDE/>
              <w:autoSpaceDN/>
              <w:jc w:val="center"/>
              <w:rPr>
                <w:b/>
                <w:bCs/>
                <w:lang w:eastAsia="et-EE"/>
              </w:rPr>
            </w:pPr>
            <w:r w:rsidRPr="007828CB">
              <w:rPr>
                <w:b/>
                <w:bCs/>
                <w:lang w:eastAsia="et-EE"/>
              </w:rPr>
              <w:t>Üld</w:t>
            </w:r>
            <w:r w:rsidR="00222CF2" w:rsidRPr="007828CB">
              <w:rPr>
                <w:b/>
                <w:bCs/>
                <w:lang w:eastAsia="et-EE"/>
              </w:rPr>
              <w:t>-</w:t>
            </w:r>
            <w:r w:rsidRPr="007828CB">
              <w:rPr>
                <w:b/>
                <w:bCs/>
                <w:lang w:eastAsia="et-EE"/>
              </w:rPr>
              <w:t>raamistik</w:t>
            </w:r>
          </w:p>
        </w:tc>
        <w:tc>
          <w:tcPr>
            <w:tcW w:w="2835" w:type="dxa"/>
            <w:shd w:val="clear" w:color="auto" w:fill="auto"/>
            <w:vAlign w:val="center"/>
            <w:hideMark/>
          </w:tcPr>
          <w:p w14:paraId="32DE7885" w14:textId="63AE2CB0" w:rsidR="00162496" w:rsidRPr="007828CB" w:rsidRDefault="00162496" w:rsidP="00162496">
            <w:pPr>
              <w:autoSpaceDE/>
              <w:autoSpaceDN/>
              <w:jc w:val="center"/>
              <w:rPr>
                <w:b/>
                <w:bCs/>
                <w:lang w:eastAsia="et-EE"/>
              </w:rPr>
            </w:pPr>
            <w:r w:rsidRPr="007828CB">
              <w:rPr>
                <w:b/>
                <w:bCs/>
                <w:lang w:eastAsia="et-EE"/>
              </w:rPr>
              <w:t>Hindamiskriteeriumi nimetus</w:t>
            </w:r>
          </w:p>
        </w:tc>
        <w:tc>
          <w:tcPr>
            <w:tcW w:w="7371" w:type="dxa"/>
            <w:shd w:val="clear" w:color="auto" w:fill="auto"/>
            <w:vAlign w:val="center"/>
            <w:hideMark/>
          </w:tcPr>
          <w:p w14:paraId="1BC26242" w14:textId="77777777" w:rsidR="00162496" w:rsidRPr="007828CB" w:rsidRDefault="00162496" w:rsidP="00162496">
            <w:pPr>
              <w:autoSpaceDE/>
              <w:autoSpaceDN/>
              <w:jc w:val="center"/>
              <w:rPr>
                <w:b/>
                <w:bCs/>
                <w:lang w:eastAsia="et-EE"/>
              </w:rPr>
            </w:pPr>
            <w:r w:rsidRPr="007828CB">
              <w:rPr>
                <w:b/>
                <w:bCs/>
                <w:lang w:eastAsia="et-EE"/>
              </w:rPr>
              <w:t>Hindamiskriteeriumi sisu ja jaotumine</w:t>
            </w:r>
          </w:p>
        </w:tc>
        <w:tc>
          <w:tcPr>
            <w:tcW w:w="992" w:type="dxa"/>
            <w:shd w:val="clear" w:color="auto" w:fill="auto"/>
            <w:vAlign w:val="center"/>
            <w:hideMark/>
          </w:tcPr>
          <w:p w14:paraId="5A3FFC29" w14:textId="77777777" w:rsidR="00F62942" w:rsidRDefault="00162496" w:rsidP="00162496">
            <w:pPr>
              <w:autoSpaceDE/>
              <w:autoSpaceDN/>
              <w:jc w:val="center"/>
              <w:rPr>
                <w:b/>
                <w:bCs/>
                <w:lang w:eastAsia="et-EE"/>
              </w:rPr>
            </w:pPr>
            <w:r w:rsidRPr="007828CB">
              <w:rPr>
                <w:b/>
                <w:bCs/>
                <w:lang w:eastAsia="et-EE"/>
              </w:rPr>
              <w:t>Hinde-</w:t>
            </w:r>
          </w:p>
          <w:p w14:paraId="0B402C96" w14:textId="61A035E2" w:rsidR="00162496" w:rsidRPr="007828CB" w:rsidRDefault="00162496" w:rsidP="00162496">
            <w:pPr>
              <w:autoSpaceDE/>
              <w:autoSpaceDN/>
              <w:jc w:val="center"/>
              <w:rPr>
                <w:b/>
                <w:bCs/>
                <w:lang w:eastAsia="et-EE"/>
              </w:rPr>
            </w:pPr>
            <w:r w:rsidRPr="007828CB">
              <w:rPr>
                <w:b/>
                <w:bCs/>
                <w:lang w:eastAsia="et-EE"/>
              </w:rPr>
              <w:t>punktid</w:t>
            </w:r>
          </w:p>
        </w:tc>
      </w:tr>
      <w:tr w:rsidR="0004008D" w:rsidRPr="00F1775E" w14:paraId="38E16585" w14:textId="77777777" w:rsidTr="008F05F8">
        <w:trPr>
          <w:trHeight w:val="496"/>
        </w:trPr>
        <w:tc>
          <w:tcPr>
            <w:tcW w:w="851" w:type="dxa"/>
            <w:vMerge w:val="restart"/>
            <w:shd w:val="clear" w:color="auto" w:fill="auto"/>
            <w:vAlign w:val="center"/>
            <w:hideMark/>
          </w:tcPr>
          <w:p w14:paraId="3969220F" w14:textId="77777777" w:rsidR="005F75A4" w:rsidRPr="00EC7A18" w:rsidRDefault="005F75A4" w:rsidP="00162496">
            <w:pPr>
              <w:autoSpaceDE/>
              <w:autoSpaceDN/>
              <w:jc w:val="center"/>
              <w:rPr>
                <w:b/>
                <w:bCs/>
                <w:sz w:val="48"/>
                <w:szCs w:val="48"/>
                <w:lang w:eastAsia="et-EE"/>
              </w:rPr>
            </w:pPr>
            <w:r w:rsidRPr="00EC7A18">
              <w:rPr>
                <w:b/>
                <w:bCs/>
                <w:sz w:val="48"/>
                <w:szCs w:val="48"/>
                <w:lang w:eastAsia="et-EE"/>
              </w:rPr>
              <w:t>1</w:t>
            </w:r>
          </w:p>
        </w:tc>
        <w:tc>
          <w:tcPr>
            <w:tcW w:w="709" w:type="dxa"/>
            <w:shd w:val="clear" w:color="auto" w:fill="auto"/>
            <w:noWrap/>
            <w:vAlign w:val="center"/>
            <w:hideMark/>
          </w:tcPr>
          <w:p w14:paraId="114C75B0" w14:textId="77777777" w:rsidR="005F75A4" w:rsidRPr="007828CB" w:rsidRDefault="005F75A4" w:rsidP="00162496">
            <w:pPr>
              <w:autoSpaceDE/>
              <w:autoSpaceDN/>
              <w:jc w:val="center"/>
              <w:rPr>
                <w:b/>
                <w:bCs/>
                <w:lang w:eastAsia="et-EE"/>
              </w:rPr>
            </w:pPr>
            <w:r w:rsidRPr="007828CB">
              <w:rPr>
                <w:b/>
                <w:bCs/>
                <w:lang w:eastAsia="et-EE"/>
              </w:rPr>
              <w:t>1</w:t>
            </w:r>
          </w:p>
        </w:tc>
        <w:tc>
          <w:tcPr>
            <w:tcW w:w="1418" w:type="dxa"/>
            <w:vMerge w:val="restart"/>
            <w:tcBorders>
              <w:bottom w:val="nil"/>
            </w:tcBorders>
            <w:shd w:val="clear" w:color="auto" w:fill="FDE9D9" w:themeFill="accent6" w:themeFillTint="33"/>
            <w:vAlign w:val="center"/>
            <w:hideMark/>
          </w:tcPr>
          <w:p w14:paraId="23D6A5DF" w14:textId="77777777" w:rsidR="0019104F" w:rsidRDefault="005F75A4" w:rsidP="00E2468B">
            <w:pPr>
              <w:autoSpaceDE/>
              <w:autoSpaceDN/>
              <w:jc w:val="center"/>
              <w:rPr>
                <w:b/>
                <w:bCs/>
                <w:lang w:eastAsia="et-EE"/>
              </w:rPr>
            </w:pPr>
            <w:r w:rsidRPr="007828CB">
              <w:rPr>
                <w:b/>
                <w:bCs/>
                <w:lang w:eastAsia="et-EE"/>
              </w:rPr>
              <w:t xml:space="preserve">Sotsiaalne </w:t>
            </w:r>
          </w:p>
          <w:p w14:paraId="3D4BAB6B" w14:textId="4D17C468" w:rsidR="005F75A4" w:rsidRPr="007828CB" w:rsidRDefault="005F75A4" w:rsidP="00E2468B">
            <w:pPr>
              <w:autoSpaceDE/>
              <w:autoSpaceDN/>
              <w:jc w:val="center"/>
              <w:rPr>
                <w:b/>
                <w:bCs/>
                <w:lang w:eastAsia="et-EE"/>
              </w:rPr>
            </w:pPr>
            <w:r w:rsidRPr="007828CB">
              <w:rPr>
                <w:b/>
                <w:bCs/>
                <w:lang w:eastAsia="et-EE"/>
              </w:rPr>
              <w:t>mõõde</w:t>
            </w:r>
          </w:p>
        </w:tc>
        <w:tc>
          <w:tcPr>
            <w:tcW w:w="2835" w:type="dxa"/>
            <w:vMerge w:val="restart"/>
            <w:shd w:val="clear" w:color="auto" w:fill="auto"/>
            <w:vAlign w:val="center"/>
            <w:hideMark/>
          </w:tcPr>
          <w:p w14:paraId="1AFBF07B" w14:textId="29544305" w:rsidR="00DC5E48" w:rsidRPr="001B1AA2" w:rsidRDefault="005F75A4" w:rsidP="00AA6F7F">
            <w:pPr>
              <w:autoSpaceDE/>
              <w:autoSpaceDN/>
              <w:rPr>
                <w:lang w:eastAsia="et-EE"/>
              </w:rPr>
            </w:pPr>
            <w:r w:rsidRPr="001B1AA2">
              <w:rPr>
                <w:lang w:eastAsia="et-EE"/>
              </w:rPr>
              <w:t xml:space="preserve">Keskustest </w:t>
            </w:r>
            <w:r w:rsidR="00A8525C" w:rsidRPr="001B1AA2">
              <w:rPr>
                <w:lang w:eastAsia="et-EE"/>
              </w:rPr>
              <w:t>eemale jäävad</w:t>
            </w:r>
            <w:r w:rsidRPr="001B1AA2">
              <w:rPr>
                <w:lang w:eastAsia="et-EE"/>
              </w:rPr>
              <w:t xml:space="preserve"> ja vähese võimekusega piirkondades tehtavad investeeringud</w:t>
            </w:r>
            <w:r w:rsidRPr="001B1AA2">
              <w:rPr>
                <w:rStyle w:val="EndnoteReference"/>
                <w:lang w:eastAsia="et-EE"/>
              </w:rPr>
              <w:endnoteReference w:id="1"/>
            </w:r>
          </w:p>
        </w:tc>
        <w:tc>
          <w:tcPr>
            <w:tcW w:w="7371" w:type="dxa"/>
            <w:shd w:val="clear" w:color="auto" w:fill="auto"/>
            <w:vAlign w:val="center"/>
            <w:hideMark/>
          </w:tcPr>
          <w:p w14:paraId="4E455289" w14:textId="77777777" w:rsidR="005F75A4" w:rsidRPr="001B1AA2" w:rsidRDefault="005F75A4" w:rsidP="00054C4C">
            <w:pPr>
              <w:autoSpaceDE/>
              <w:autoSpaceDN/>
              <w:jc w:val="both"/>
              <w:rPr>
                <w:lang w:eastAsia="et-EE"/>
              </w:rPr>
            </w:pPr>
            <w:r w:rsidRPr="001B1AA2">
              <w:rPr>
                <w:bCs/>
                <w:lang w:eastAsia="et-EE"/>
              </w:rPr>
              <w:t>Klaster 1</w:t>
            </w:r>
            <w:r w:rsidRPr="001B1AA2">
              <w:rPr>
                <w:lang w:eastAsia="et-EE"/>
              </w:rPr>
              <w:t xml:space="preserve"> – maalised tugevad vallad, kus on suur nii seotus linnalise keskusega kui ka põllumajanduse osatähtsus. Esimesse klastrisse kuulub 34</w:t>
            </w:r>
            <w:r w:rsidR="00AC1521" w:rsidRPr="001B1AA2">
              <w:rPr>
                <w:lang w:eastAsia="et-EE"/>
              </w:rPr>
              <w:t> </w:t>
            </w:r>
            <w:r w:rsidRPr="001B1AA2">
              <w:rPr>
                <w:lang w:eastAsia="et-EE"/>
              </w:rPr>
              <w:t>kohaliku omavalitsuse üksust: Ambla vald, Aseri vald, Haaslava vald, Halinga vald, Haljala vald, Juuru vald, Jõgeva vald, Järva-Jaani vald, Kadrina vald, Kareda vald, Koeru vald, Kohtla vald, Konguta vald, Lihula vald, Luunja vald, Nõo vald, Puhja vald, Põltsamaa vald, Põlva vald, Rakvere vald, Rannu vald, Rapla vald, Roosna-Alliku vald, Rõngu vald, Sõmeru vald, Tabivere vald, Tamsalu vald, Tapa vald, Tartu vald, Tähtvere vald, Türi vald, Viljandi vald, Vinni vald, Väike-Maarja vald</w:t>
            </w:r>
          </w:p>
        </w:tc>
        <w:tc>
          <w:tcPr>
            <w:tcW w:w="992" w:type="dxa"/>
            <w:shd w:val="clear" w:color="auto" w:fill="auto"/>
            <w:vAlign w:val="center"/>
            <w:hideMark/>
          </w:tcPr>
          <w:p w14:paraId="547C1FEB" w14:textId="77777777" w:rsidR="005F75A4" w:rsidRPr="007828CB" w:rsidRDefault="005F75A4" w:rsidP="00162496">
            <w:pPr>
              <w:autoSpaceDE/>
              <w:autoSpaceDN/>
              <w:jc w:val="center"/>
              <w:rPr>
                <w:b/>
                <w:bCs/>
                <w:lang w:eastAsia="et-EE"/>
              </w:rPr>
            </w:pPr>
            <w:r w:rsidRPr="007828CB">
              <w:rPr>
                <w:b/>
                <w:bCs/>
                <w:lang w:eastAsia="et-EE"/>
              </w:rPr>
              <w:t>2</w:t>
            </w:r>
          </w:p>
        </w:tc>
      </w:tr>
      <w:tr w:rsidR="0004008D" w:rsidRPr="00F1775E" w14:paraId="098DC913" w14:textId="77777777" w:rsidTr="008F05F8">
        <w:trPr>
          <w:trHeight w:val="264"/>
        </w:trPr>
        <w:tc>
          <w:tcPr>
            <w:tcW w:w="851" w:type="dxa"/>
            <w:vMerge/>
            <w:shd w:val="clear" w:color="auto" w:fill="auto"/>
            <w:vAlign w:val="center"/>
            <w:hideMark/>
          </w:tcPr>
          <w:p w14:paraId="3A006F6A"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3DBF1604" w14:textId="77777777" w:rsidR="005F75A4" w:rsidRPr="007828CB" w:rsidRDefault="005F75A4" w:rsidP="00162496">
            <w:pPr>
              <w:autoSpaceDE/>
              <w:autoSpaceDN/>
              <w:jc w:val="center"/>
              <w:rPr>
                <w:b/>
                <w:bCs/>
                <w:lang w:eastAsia="et-EE"/>
              </w:rPr>
            </w:pPr>
            <w:r w:rsidRPr="007828CB">
              <w:rPr>
                <w:b/>
                <w:bCs/>
                <w:lang w:eastAsia="et-EE"/>
              </w:rPr>
              <w:t>2</w:t>
            </w:r>
          </w:p>
        </w:tc>
        <w:tc>
          <w:tcPr>
            <w:tcW w:w="1418" w:type="dxa"/>
            <w:vMerge/>
            <w:tcBorders>
              <w:top w:val="nil"/>
              <w:bottom w:val="nil"/>
            </w:tcBorders>
            <w:shd w:val="clear" w:color="auto" w:fill="FDE9D9" w:themeFill="accent6" w:themeFillTint="33"/>
            <w:vAlign w:val="center"/>
            <w:hideMark/>
          </w:tcPr>
          <w:p w14:paraId="66BC6F7E" w14:textId="77777777" w:rsidR="005F75A4" w:rsidRPr="001B1AA2" w:rsidRDefault="005F75A4" w:rsidP="00162496">
            <w:pPr>
              <w:autoSpaceDE/>
              <w:autoSpaceDN/>
              <w:rPr>
                <w:bCs/>
                <w:lang w:eastAsia="et-EE"/>
              </w:rPr>
            </w:pPr>
          </w:p>
        </w:tc>
        <w:tc>
          <w:tcPr>
            <w:tcW w:w="2835" w:type="dxa"/>
            <w:vMerge/>
            <w:shd w:val="clear" w:color="auto" w:fill="auto"/>
            <w:vAlign w:val="center"/>
            <w:hideMark/>
          </w:tcPr>
          <w:p w14:paraId="660E1F05" w14:textId="77777777" w:rsidR="005F75A4" w:rsidRPr="001B1AA2" w:rsidRDefault="005F75A4" w:rsidP="00162496">
            <w:pPr>
              <w:autoSpaceDE/>
              <w:autoSpaceDN/>
              <w:rPr>
                <w:lang w:eastAsia="et-EE"/>
              </w:rPr>
            </w:pPr>
          </w:p>
        </w:tc>
        <w:tc>
          <w:tcPr>
            <w:tcW w:w="7371" w:type="dxa"/>
            <w:shd w:val="clear" w:color="auto" w:fill="auto"/>
            <w:vAlign w:val="center"/>
            <w:hideMark/>
          </w:tcPr>
          <w:p w14:paraId="46C8F262" w14:textId="77777777" w:rsidR="005F75A4" w:rsidRPr="001B1AA2" w:rsidRDefault="005F75A4" w:rsidP="00054C4C">
            <w:pPr>
              <w:autoSpaceDE/>
              <w:autoSpaceDN/>
              <w:jc w:val="both"/>
              <w:rPr>
                <w:lang w:eastAsia="et-EE"/>
              </w:rPr>
            </w:pPr>
            <w:r w:rsidRPr="001B1AA2">
              <w:rPr>
                <w:bCs/>
                <w:lang w:eastAsia="et-EE"/>
              </w:rPr>
              <w:t>Klaster 2</w:t>
            </w:r>
            <w:r w:rsidRPr="001B1AA2">
              <w:rPr>
                <w:lang w:eastAsia="et-EE"/>
              </w:rPr>
              <w:t xml:space="preserve"> – maalised vallad, kus väikese asustustihedusega kaasneb põllumajanduse suur osatähtsus ja suhteliselt madal sissetulekute tase. Teise klastrisse kuulub 51 kohaliku omavalitsuse üksust: Abja vald, Ahja vald, Alatskivi vald, Albu vald, Antsla vald, Are vald, Halliste vald, Hanila vald, Helme vald, Hummuli vald, Imavere vald, Kanepi vald, Karula vald, Koigi vald, Kolga-Jaani vald, Koonga vald, Kullamaa vald, Kõo vald, Laekvere vald, Laheda vald, Lasva vald, Martna vald, Meremäe vald, Mooste vald, Mõniste vald, Mäksa vald, Pajusi vald, Pala vald, Palamuse vald, Palupera vald, Puka vald, Puurmani vald, Põdrala vald, Pöide vald, Rakke vald, Räpina vald, Saare vald, Sangaste vald, Sõmerpalu vald, Tarvastu vald, Tori </w:t>
            </w:r>
            <w:r w:rsidRPr="001B1AA2">
              <w:rPr>
                <w:lang w:eastAsia="et-EE"/>
              </w:rPr>
              <w:lastRenderedPageBreak/>
              <w:t>vald, Torma vald, Tõlliste vald, Urvaste vald, Valgjärve vald, Varstu vald, Vastse-Kuuste vald, Vigala vald, Võnnu vald, Vändra vald, Õru vald</w:t>
            </w:r>
          </w:p>
        </w:tc>
        <w:tc>
          <w:tcPr>
            <w:tcW w:w="992" w:type="dxa"/>
            <w:shd w:val="clear" w:color="auto" w:fill="auto"/>
            <w:vAlign w:val="center"/>
            <w:hideMark/>
          </w:tcPr>
          <w:p w14:paraId="26078533" w14:textId="77777777" w:rsidR="005F75A4" w:rsidRPr="007828CB" w:rsidRDefault="005F75A4" w:rsidP="00162496">
            <w:pPr>
              <w:autoSpaceDE/>
              <w:autoSpaceDN/>
              <w:jc w:val="center"/>
              <w:rPr>
                <w:b/>
                <w:bCs/>
                <w:lang w:eastAsia="et-EE"/>
              </w:rPr>
            </w:pPr>
            <w:r w:rsidRPr="007828CB">
              <w:rPr>
                <w:b/>
                <w:bCs/>
                <w:lang w:eastAsia="et-EE"/>
              </w:rPr>
              <w:lastRenderedPageBreak/>
              <w:t>5</w:t>
            </w:r>
          </w:p>
        </w:tc>
      </w:tr>
      <w:tr w:rsidR="0004008D" w:rsidRPr="00F1775E" w14:paraId="016B7495" w14:textId="77777777" w:rsidTr="008F05F8">
        <w:trPr>
          <w:trHeight w:val="600"/>
        </w:trPr>
        <w:tc>
          <w:tcPr>
            <w:tcW w:w="851" w:type="dxa"/>
            <w:vMerge/>
            <w:shd w:val="clear" w:color="auto" w:fill="auto"/>
            <w:vAlign w:val="center"/>
            <w:hideMark/>
          </w:tcPr>
          <w:p w14:paraId="1F67A5B0"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664C04DC" w14:textId="77777777" w:rsidR="005F75A4" w:rsidRPr="007828CB" w:rsidRDefault="005F75A4" w:rsidP="00162496">
            <w:pPr>
              <w:autoSpaceDE/>
              <w:autoSpaceDN/>
              <w:jc w:val="center"/>
              <w:rPr>
                <w:b/>
                <w:bCs/>
                <w:lang w:eastAsia="et-EE"/>
              </w:rPr>
            </w:pPr>
            <w:r w:rsidRPr="007828CB">
              <w:rPr>
                <w:b/>
                <w:bCs/>
                <w:lang w:eastAsia="et-EE"/>
              </w:rPr>
              <w:t>3</w:t>
            </w:r>
          </w:p>
        </w:tc>
        <w:tc>
          <w:tcPr>
            <w:tcW w:w="1418" w:type="dxa"/>
            <w:vMerge/>
            <w:tcBorders>
              <w:top w:val="nil"/>
              <w:bottom w:val="nil"/>
            </w:tcBorders>
            <w:shd w:val="clear" w:color="auto" w:fill="FDE9D9" w:themeFill="accent6" w:themeFillTint="33"/>
            <w:vAlign w:val="center"/>
            <w:hideMark/>
          </w:tcPr>
          <w:p w14:paraId="0D636768" w14:textId="77777777" w:rsidR="005F75A4" w:rsidRPr="001B1AA2" w:rsidRDefault="005F75A4" w:rsidP="00162496">
            <w:pPr>
              <w:autoSpaceDE/>
              <w:autoSpaceDN/>
              <w:rPr>
                <w:bCs/>
                <w:lang w:eastAsia="et-EE"/>
              </w:rPr>
            </w:pPr>
          </w:p>
        </w:tc>
        <w:tc>
          <w:tcPr>
            <w:tcW w:w="2835" w:type="dxa"/>
            <w:vMerge/>
            <w:shd w:val="clear" w:color="auto" w:fill="auto"/>
            <w:vAlign w:val="center"/>
            <w:hideMark/>
          </w:tcPr>
          <w:p w14:paraId="3982C172" w14:textId="77777777" w:rsidR="005F75A4" w:rsidRPr="001B1AA2" w:rsidRDefault="005F75A4" w:rsidP="00162496">
            <w:pPr>
              <w:autoSpaceDE/>
              <w:autoSpaceDN/>
              <w:rPr>
                <w:lang w:eastAsia="et-EE"/>
              </w:rPr>
            </w:pPr>
          </w:p>
        </w:tc>
        <w:tc>
          <w:tcPr>
            <w:tcW w:w="7371" w:type="dxa"/>
            <w:shd w:val="clear" w:color="auto" w:fill="auto"/>
            <w:vAlign w:val="center"/>
            <w:hideMark/>
          </w:tcPr>
          <w:p w14:paraId="684402E3" w14:textId="77777777" w:rsidR="005F75A4" w:rsidRPr="001B1AA2" w:rsidRDefault="005F75A4" w:rsidP="00054C4C">
            <w:pPr>
              <w:autoSpaceDE/>
              <w:autoSpaceDN/>
              <w:jc w:val="both"/>
              <w:rPr>
                <w:lang w:eastAsia="et-EE"/>
              </w:rPr>
            </w:pPr>
            <w:r w:rsidRPr="001B1AA2">
              <w:rPr>
                <w:bCs/>
                <w:lang w:eastAsia="et-EE"/>
              </w:rPr>
              <w:t xml:space="preserve">Klaster 3 </w:t>
            </w:r>
            <w:r w:rsidRPr="001B1AA2">
              <w:rPr>
                <w:lang w:eastAsia="et-EE"/>
              </w:rPr>
              <w:t>– pigem linnalisemad omavalitsused, kus maamajandusel ja põllumaal on väiksem osatähtsus. Kolmandasse klastrisse kuulub 42</w:t>
            </w:r>
            <w:r w:rsidR="00AC1521" w:rsidRPr="001B1AA2">
              <w:rPr>
                <w:lang w:eastAsia="et-EE"/>
              </w:rPr>
              <w:t> </w:t>
            </w:r>
            <w:r w:rsidRPr="001B1AA2">
              <w:rPr>
                <w:lang w:eastAsia="et-EE"/>
              </w:rPr>
              <w:t>kohaliku omavalitsuse üksust: Aegviidu vald, Anija vald, Audru vald, Iisaku vald, Illuka vald, Kaiu vald, Kambja vald, Kehtna vald, Kernu vald, Kose vald, Kuusalu vald, Kõlleste vald, Laeva vald, Lääne-Nigula vald, Lüganuse vald, Mustvee linn, Mõisaküla linn, Mäetaguse vald, Märjamaa vald, Nissi vald, Noarootsi vald, Nõva vald, Padise vald, Paide vald, Paikuse vald, Karksi vald, Otepää vald, Raikküla vald, Ridala vald, Rägavere vald, Saarde vald, Sauga vald, Sonda vald, Suure-Jaani vald, Toila vald, Tahkuranna vald, Vaivara vald, Vara vald, Vihula vald, Viru-Nigula vald, Võru vald, Väätsa vald</w:t>
            </w:r>
          </w:p>
        </w:tc>
        <w:tc>
          <w:tcPr>
            <w:tcW w:w="992" w:type="dxa"/>
            <w:shd w:val="clear" w:color="auto" w:fill="auto"/>
            <w:vAlign w:val="center"/>
            <w:hideMark/>
          </w:tcPr>
          <w:p w14:paraId="142F9B74" w14:textId="77777777" w:rsidR="005F75A4" w:rsidRPr="007828CB" w:rsidRDefault="005F75A4" w:rsidP="00162496">
            <w:pPr>
              <w:autoSpaceDE/>
              <w:autoSpaceDN/>
              <w:jc w:val="center"/>
              <w:rPr>
                <w:b/>
                <w:bCs/>
                <w:lang w:eastAsia="et-EE"/>
              </w:rPr>
            </w:pPr>
            <w:r w:rsidRPr="007828CB">
              <w:rPr>
                <w:b/>
                <w:bCs/>
                <w:lang w:eastAsia="et-EE"/>
              </w:rPr>
              <w:t>3</w:t>
            </w:r>
          </w:p>
        </w:tc>
      </w:tr>
      <w:tr w:rsidR="0004008D" w:rsidRPr="00F1775E" w14:paraId="6F24FF2E" w14:textId="77777777" w:rsidTr="008F05F8">
        <w:trPr>
          <w:trHeight w:val="780"/>
        </w:trPr>
        <w:tc>
          <w:tcPr>
            <w:tcW w:w="851" w:type="dxa"/>
            <w:vMerge/>
            <w:shd w:val="clear" w:color="auto" w:fill="auto"/>
            <w:vAlign w:val="center"/>
            <w:hideMark/>
          </w:tcPr>
          <w:p w14:paraId="12641787"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24E74DA5" w14:textId="77777777" w:rsidR="005F75A4" w:rsidRPr="007828CB" w:rsidRDefault="005F75A4" w:rsidP="00162496">
            <w:pPr>
              <w:autoSpaceDE/>
              <w:autoSpaceDN/>
              <w:jc w:val="center"/>
              <w:rPr>
                <w:b/>
                <w:bCs/>
                <w:lang w:eastAsia="et-EE"/>
              </w:rPr>
            </w:pPr>
            <w:r w:rsidRPr="007828CB">
              <w:rPr>
                <w:b/>
                <w:bCs/>
                <w:lang w:eastAsia="et-EE"/>
              </w:rPr>
              <w:t>4</w:t>
            </w:r>
          </w:p>
        </w:tc>
        <w:tc>
          <w:tcPr>
            <w:tcW w:w="1418" w:type="dxa"/>
            <w:vMerge/>
            <w:tcBorders>
              <w:top w:val="nil"/>
              <w:bottom w:val="nil"/>
            </w:tcBorders>
            <w:shd w:val="clear" w:color="auto" w:fill="FDE9D9" w:themeFill="accent6" w:themeFillTint="33"/>
            <w:vAlign w:val="center"/>
            <w:hideMark/>
          </w:tcPr>
          <w:p w14:paraId="589A6960" w14:textId="77777777" w:rsidR="005F75A4" w:rsidRPr="001B1AA2" w:rsidRDefault="005F75A4" w:rsidP="00162496">
            <w:pPr>
              <w:autoSpaceDE/>
              <w:autoSpaceDN/>
              <w:rPr>
                <w:bCs/>
                <w:lang w:eastAsia="et-EE"/>
              </w:rPr>
            </w:pPr>
          </w:p>
        </w:tc>
        <w:tc>
          <w:tcPr>
            <w:tcW w:w="2835" w:type="dxa"/>
            <w:vMerge/>
            <w:shd w:val="clear" w:color="auto" w:fill="auto"/>
            <w:vAlign w:val="center"/>
            <w:hideMark/>
          </w:tcPr>
          <w:p w14:paraId="36C9736F" w14:textId="77777777" w:rsidR="005F75A4" w:rsidRPr="001B1AA2" w:rsidRDefault="005F75A4" w:rsidP="00162496">
            <w:pPr>
              <w:autoSpaceDE/>
              <w:autoSpaceDN/>
              <w:rPr>
                <w:lang w:eastAsia="et-EE"/>
              </w:rPr>
            </w:pPr>
          </w:p>
        </w:tc>
        <w:tc>
          <w:tcPr>
            <w:tcW w:w="7371" w:type="dxa"/>
            <w:shd w:val="clear" w:color="auto" w:fill="auto"/>
            <w:vAlign w:val="center"/>
            <w:hideMark/>
          </w:tcPr>
          <w:p w14:paraId="695E4C87" w14:textId="77777777" w:rsidR="005F75A4" w:rsidRPr="001B1AA2" w:rsidRDefault="005F75A4" w:rsidP="00054C4C">
            <w:pPr>
              <w:autoSpaceDE/>
              <w:autoSpaceDN/>
              <w:jc w:val="both"/>
              <w:rPr>
                <w:lang w:eastAsia="et-EE"/>
              </w:rPr>
            </w:pPr>
            <w:r w:rsidRPr="001B1AA2">
              <w:rPr>
                <w:bCs/>
                <w:lang w:eastAsia="et-EE"/>
              </w:rPr>
              <w:t>Klaster 4</w:t>
            </w:r>
            <w:r w:rsidRPr="001B1AA2">
              <w:rPr>
                <w:lang w:eastAsia="et-EE"/>
              </w:rPr>
              <w:t xml:space="preserve"> – maalised nõrgad omavalitsused, kus maaline eluviis on väikese tähtsusega, sest põllumajanduse suure osatähtsusega kaasneb madal asukohaindeks ja suhteliselt madalam sissetulekute tase. Neljandasse klastrisse kuulub 28 kohaliku omavalitsuse üksust: Alajõe vald, Avinurme vald, Haanja vald, Häädemeeste vald, Kallaste linn, Kihelkonna vald, Kõpu vald, Käru vald, Leisi vald, Lohusuu vald, Meeksi vald, Mikitamäe vald, Misso vald, Mustjala vald, Orava vald, Peipsiääre vald, Piirissaare vald, Kasepää vald, Rõuge vald, Surju vald, Taheva vald, Torgu vald, Tudulinna vald, Tõstamaa vald, Varbla vald, Vastseliina vald, Veriora vald, Värska vald</w:t>
            </w:r>
          </w:p>
        </w:tc>
        <w:tc>
          <w:tcPr>
            <w:tcW w:w="992" w:type="dxa"/>
            <w:shd w:val="clear" w:color="auto" w:fill="auto"/>
            <w:vAlign w:val="center"/>
            <w:hideMark/>
          </w:tcPr>
          <w:p w14:paraId="61AAC3C3" w14:textId="77777777" w:rsidR="005F75A4" w:rsidRPr="007828CB" w:rsidRDefault="005F75A4" w:rsidP="00162496">
            <w:pPr>
              <w:autoSpaceDE/>
              <w:autoSpaceDN/>
              <w:jc w:val="center"/>
              <w:rPr>
                <w:b/>
                <w:bCs/>
                <w:lang w:eastAsia="et-EE"/>
              </w:rPr>
            </w:pPr>
            <w:r w:rsidRPr="007828CB">
              <w:rPr>
                <w:b/>
                <w:bCs/>
                <w:lang w:eastAsia="et-EE"/>
              </w:rPr>
              <w:t>6</w:t>
            </w:r>
          </w:p>
        </w:tc>
      </w:tr>
      <w:tr w:rsidR="0004008D" w:rsidRPr="00F1775E" w14:paraId="06B0E1D6" w14:textId="77777777" w:rsidTr="008F05F8">
        <w:trPr>
          <w:trHeight w:val="793"/>
        </w:trPr>
        <w:tc>
          <w:tcPr>
            <w:tcW w:w="851" w:type="dxa"/>
            <w:vMerge/>
            <w:shd w:val="clear" w:color="auto" w:fill="auto"/>
            <w:vAlign w:val="center"/>
            <w:hideMark/>
          </w:tcPr>
          <w:p w14:paraId="795E84C3"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3A183330" w14:textId="77777777" w:rsidR="005F75A4" w:rsidRPr="007828CB" w:rsidRDefault="005F75A4" w:rsidP="00162496">
            <w:pPr>
              <w:autoSpaceDE/>
              <w:autoSpaceDN/>
              <w:jc w:val="center"/>
              <w:rPr>
                <w:b/>
                <w:bCs/>
                <w:lang w:eastAsia="et-EE"/>
              </w:rPr>
            </w:pPr>
            <w:r w:rsidRPr="007828CB">
              <w:rPr>
                <w:b/>
                <w:bCs/>
                <w:lang w:eastAsia="et-EE"/>
              </w:rPr>
              <w:t>5</w:t>
            </w:r>
          </w:p>
        </w:tc>
        <w:tc>
          <w:tcPr>
            <w:tcW w:w="1418" w:type="dxa"/>
            <w:vMerge/>
            <w:tcBorders>
              <w:top w:val="nil"/>
              <w:bottom w:val="nil"/>
            </w:tcBorders>
            <w:shd w:val="clear" w:color="auto" w:fill="FDE9D9" w:themeFill="accent6" w:themeFillTint="33"/>
            <w:vAlign w:val="center"/>
            <w:hideMark/>
          </w:tcPr>
          <w:p w14:paraId="4D708623" w14:textId="77777777" w:rsidR="005F75A4" w:rsidRPr="001B1AA2" w:rsidRDefault="005F75A4" w:rsidP="00162496">
            <w:pPr>
              <w:autoSpaceDE/>
              <w:autoSpaceDN/>
              <w:rPr>
                <w:bCs/>
                <w:lang w:eastAsia="et-EE"/>
              </w:rPr>
            </w:pPr>
          </w:p>
        </w:tc>
        <w:tc>
          <w:tcPr>
            <w:tcW w:w="2835" w:type="dxa"/>
            <w:vMerge/>
            <w:shd w:val="clear" w:color="auto" w:fill="auto"/>
            <w:vAlign w:val="center"/>
            <w:hideMark/>
          </w:tcPr>
          <w:p w14:paraId="70D6D46A" w14:textId="77777777" w:rsidR="005F75A4" w:rsidRPr="001B1AA2" w:rsidRDefault="005F75A4" w:rsidP="00162496">
            <w:pPr>
              <w:autoSpaceDE/>
              <w:autoSpaceDN/>
              <w:rPr>
                <w:lang w:eastAsia="et-EE"/>
              </w:rPr>
            </w:pPr>
          </w:p>
        </w:tc>
        <w:tc>
          <w:tcPr>
            <w:tcW w:w="7371" w:type="dxa"/>
            <w:shd w:val="clear" w:color="auto" w:fill="auto"/>
            <w:vAlign w:val="center"/>
            <w:hideMark/>
          </w:tcPr>
          <w:p w14:paraId="7C9FCF54" w14:textId="77777777" w:rsidR="005F75A4" w:rsidRPr="001B1AA2" w:rsidRDefault="005F75A4" w:rsidP="00054C4C">
            <w:pPr>
              <w:autoSpaceDE/>
              <w:autoSpaceDN/>
              <w:jc w:val="both"/>
              <w:rPr>
                <w:lang w:eastAsia="et-EE"/>
              </w:rPr>
            </w:pPr>
            <w:r w:rsidRPr="001B1AA2">
              <w:rPr>
                <w:bCs/>
                <w:lang w:eastAsia="et-EE"/>
              </w:rPr>
              <w:t>Klaster 5</w:t>
            </w:r>
            <w:r w:rsidRPr="001B1AA2">
              <w:rPr>
                <w:lang w:eastAsia="et-EE"/>
              </w:rPr>
              <w:t xml:space="preserve"> – maalised omavalitsused saartel, mis asuvad keskustest kaugemal ning mida iseloomustab suhteliselt madal sissetulekute tase. Viiendasse klastrisse kuulub 14 kohaliku omavalitsuse üksust: Emmaste vald, Hiiu vald, Kihnu vald, Käina vald, Laimjala vald, Lääne-Saare vald, Muhu vald, Orissaare vald, Pihtla vald, Pühalepa vald, Ruhnu vald, Salme vald, Valjala vald, Vormsi vald</w:t>
            </w:r>
          </w:p>
        </w:tc>
        <w:tc>
          <w:tcPr>
            <w:tcW w:w="992" w:type="dxa"/>
            <w:shd w:val="clear" w:color="auto" w:fill="auto"/>
            <w:vAlign w:val="center"/>
            <w:hideMark/>
          </w:tcPr>
          <w:p w14:paraId="19E1CE37" w14:textId="77777777" w:rsidR="005F75A4" w:rsidRPr="007828CB" w:rsidRDefault="005F75A4" w:rsidP="00162496">
            <w:pPr>
              <w:autoSpaceDE/>
              <w:autoSpaceDN/>
              <w:jc w:val="center"/>
              <w:rPr>
                <w:b/>
                <w:bCs/>
                <w:lang w:eastAsia="et-EE"/>
              </w:rPr>
            </w:pPr>
            <w:r w:rsidRPr="007828CB">
              <w:rPr>
                <w:b/>
                <w:bCs/>
                <w:lang w:eastAsia="et-EE"/>
              </w:rPr>
              <w:t>4</w:t>
            </w:r>
          </w:p>
        </w:tc>
      </w:tr>
      <w:tr w:rsidR="0004008D" w:rsidRPr="00F1775E" w14:paraId="0F54B3B3" w14:textId="77777777" w:rsidTr="008F05F8">
        <w:trPr>
          <w:trHeight w:val="262"/>
        </w:trPr>
        <w:tc>
          <w:tcPr>
            <w:tcW w:w="851" w:type="dxa"/>
            <w:vMerge/>
            <w:shd w:val="clear" w:color="auto" w:fill="auto"/>
            <w:vAlign w:val="center"/>
            <w:hideMark/>
          </w:tcPr>
          <w:p w14:paraId="4AD477A7"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53FF2240" w14:textId="77777777" w:rsidR="005F75A4" w:rsidRPr="007828CB" w:rsidRDefault="005F75A4" w:rsidP="00162496">
            <w:pPr>
              <w:autoSpaceDE/>
              <w:autoSpaceDN/>
              <w:jc w:val="center"/>
              <w:rPr>
                <w:b/>
                <w:bCs/>
                <w:lang w:eastAsia="et-EE"/>
              </w:rPr>
            </w:pPr>
            <w:r w:rsidRPr="007828CB">
              <w:rPr>
                <w:b/>
                <w:bCs/>
                <w:lang w:eastAsia="et-EE"/>
              </w:rPr>
              <w:t>6</w:t>
            </w:r>
          </w:p>
        </w:tc>
        <w:tc>
          <w:tcPr>
            <w:tcW w:w="1418" w:type="dxa"/>
            <w:vMerge/>
            <w:tcBorders>
              <w:top w:val="nil"/>
              <w:bottom w:val="nil"/>
            </w:tcBorders>
            <w:shd w:val="clear" w:color="auto" w:fill="FDE9D9" w:themeFill="accent6" w:themeFillTint="33"/>
            <w:vAlign w:val="center"/>
            <w:hideMark/>
          </w:tcPr>
          <w:p w14:paraId="7DD1D041" w14:textId="77777777" w:rsidR="005F75A4" w:rsidRPr="001B1AA2" w:rsidRDefault="005F75A4" w:rsidP="00162496">
            <w:pPr>
              <w:autoSpaceDE/>
              <w:autoSpaceDN/>
              <w:rPr>
                <w:bCs/>
                <w:lang w:eastAsia="et-EE"/>
              </w:rPr>
            </w:pPr>
          </w:p>
        </w:tc>
        <w:tc>
          <w:tcPr>
            <w:tcW w:w="2835" w:type="dxa"/>
            <w:vMerge/>
            <w:shd w:val="clear" w:color="auto" w:fill="auto"/>
            <w:vAlign w:val="center"/>
            <w:hideMark/>
          </w:tcPr>
          <w:p w14:paraId="752F5A1A" w14:textId="77777777" w:rsidR="005F75A4" w:rsidRPr="001B1AA2" w:rsidRDefault="005F75A4" w:rsidP="00162496">
            <w:pPr>
              <w:autoSpaceDE/>
              <w:autoSpaceDN/>
              <w:rPr>
                <w:lang w:eastAsia="et-EE"/>
              </w:rPr>
            </w:pPr>
          </w:p>
        </w:tc>
        <w:tc>
          <w:tcPr>
            <w:tcW w:w="7371" w:type="dxa"/>
            <w:shd w:val="clear" w:color="auto" w:fill="auto"/>
            <w:vAlign w:val="center"/>
            <w:hideMark/>
          </w:tcPr>
          <w:p w14:paraId="34A08777" w14:textId="77777777" w:rsidR="005F75A4" w:rsidRPr="001B1AA2" w:rsidRDefault="005F75A4" w:rsidP="00054C4C">
            <w:pPr>
              <w:autoSpaceDE/>
              <w:autoSpaceDN/>
              <w:jc w:val="both"/>
              <w:rPr>
                <w:lang w:eastAsia="et-EE"/>
              </w:rPr>
            </w:pPr>
            <w:r w:rsidRPr="001B1AA2">
              <w:rPr>
                <w:bCs/>
                <w:lang w:eastAsia="et-EE"/>
              </w:rPr>
              <w:t>Klaster 6</w:t>
            </w:r>
            <w:r w:rsidRPr="001B1AA2">
              <w:rPr>
                <w:lang w:eastAsia="et-EE"/>
              </w:rPr>
              <w:t xml:space="preserve"> – pigem linnalised omavalitsused, kus asustuspildi linnalisust mõjutab enamasti suure keskuse olemasolu ning põllumajanduse suhteliselt väike osatähtsus. Kuuendasse klastrisse kuulub 17 kohaliku omavalitsuse üksust: Jõelähtme vald, Jõhvi vald, Järvakandi vald, Keila vald, Kohila vald, </w:t>
            </w:r>
            <w:r w:rsidRPr="001B1AA2">
              <w:rPr>
                <w:lang w:eastAsia="et-EE"/>
              </w:rPr>
              <w:lastRenderedPageBreak/>
              <w:t>Kohtla-Nõmme vald, Kunda linn, Loksa linn, Narva-Jõesuu linn, Paldiski linn, Raasiku vald, Tootsi vald, Tõrva linn, Vasalemma vald, Võhma linn, Vändra vald (alev), Ülenurme vald</w:t>
            </w:r>
          </w:p>
        </w:tc>
        <w:tc>
          <w:tcPr>
            <w:tcW w:w="992" w:type="dxa"/>
            <w:shd w:val="clear" w:color="auto" w:fill="auto"/>
            <w:vAlign w:val="center"/>
            <w:hideMark/>
          </w:tcPr>
          <w:p w14:paraId="0D79A8FD" w14:textId="77777777" w:rsidR="005F75A4" w:rsidRPr="003D4458" w:rsidRDefault="005F75A4" w:rsidP="00162496">
            <w:pPr>
              <w:autoSpaceDE/>
              <w:autoSpaceDN/>
              <w:jc w:val="center"/>
              <w:rPr>
                <w:b/>
                <w:bCs/>
                <w:lang w:eastAsia="et-EE"/>
              </w:rPr>
            </w:pPr>
            <w:r w:rsidRPr="003D4458">
              <w:rPr>
                <w:b/>
                <w:bCs/>
                <w:lang w:eastAsia="et-EE"/>
              </w:rPr>
              <w:lastRenderedPageBreak/>
              <w:t>1</w:t>
            </w:r>
          </w:p>
        </w:tc>
      </w:tr>
      <w:tr w:rsidR="0004008D" w:rsidRPr="00F1775E" w14:paraId="4B69A00B" w14:textId="77777777" w:rsidTr="008F05F8">
        <w:trPr>
          <w:trHeight w:val="438"/>
        </w:trPr>
        <w:tc>
          <w:tcPr>
            <w:tcW w:w="851" w:type="dxa"/>
            <w:vMerge/>
            <w:shd w:val="clear" w:color="auto" w:fill="auto"/>
            <w:vAlign w:val="center"/>
            <w:hideMark/>
          </w:tcPr>
          <w:p w14:paraId="3F7E9FF0"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77CA7FB8" w14:textId="77777777" w:rsidR="005F75A4" w:rsidRPr="008D6352" w:rsidRDefault="005F75A4" w:rsidP="00162496">
            <w:pPr>
              <w:autoSpaceDE/>
              <w:autoSpaceDN/>
              <w:jc w:val="center"/>
              <w:rPr>
                <w:b/>
                <w:bCs/>
                <w:lang w:eastAsia="et-EE"/>
              </w:rPr>
            </w:pPr>
            <w:r w:rsidRPr="008D6352">
              <w:rPr>
                <w:b/>
                <w:bCs/>
                <w:lang w:eastAsia="et-EE"/>
              </w:rPr>
              <w:t>7</w:t>
            </w:r>
          </w:p>
        </w:tc>
        <w:tc>
          <w:tcPr>
            <w:tcW w:w="1418" w:type="dxa"/>
            <w:vMerge/>
            <w:tcBorders>
              <w:top w:val="nil"/>
              <w:bottom w:val="nil"/>
            </w:tcBorders>
            <w:shd w:val="clear" w:color="auto" w:fill="FDE9D9" w:themeFill="accent6" w:themeFillTint="33"/>
            <w:vAlign w:val="center"/>
            <w:hideMark/>
          </w:tcPr>
          <w:p w14:paraId="2E92A543" w14:textId="77777777" w:rsidR="005F75A4" w:rsidRPr="001B1AA2" w:rsidRDefault="005F75A4" w:rsidP="00162496">
            <w:pPr>
              <w:autoSpaceDE/>
              <w:autoSpaceDN/>
              <w:rPr>
                <w:bCs/>
                <w:lang w:eastAsia="et-EE"/>
              </w:rPr>
            </w:pPr>
          </w:p>
        </w:tc>
        <w:tc>
          <w:tcPr>
            <w:tcW w:w="2835" w:type="dxa"/>
            <w:vMerge/>
            <w:shd w:val="clear" w:color="auto" w:fill="auto"/>
            <w:vAlign w:val="center"/>
            <w:hideMark/>
          </w:tcPr>
          <w:p w14:paraId="4ADAD913" w14:textId="77777777" w:rsidR="005F75A4" w:rsidRPr="001B1AA2" w:rsidRDefault="005F75A4" w:rsidP="00162496">
            <w:pPr>
              <w:autoSpaceDE/>
              <w:autoSpaceDN/>
              <w:rPr>
                <w:lang w:eastAsia="et-EE"/>
              </w:rPr>
            </w:pPr>
          </w:p>
        </w:tc>
        <w:tc>
          <w:tcPr>
            <w:tcW w:w="7371" w:type="dxa"/>
            <w:shd w:val="clear" w:color="auto" w:fill="auto"/>
            <w:vAlign w:val="center"/>
            <w:hideMark/>
          </w:tcPr>
          <w:p w14:paraId="48C690A8" w14:textId="77777777" w:rsidR="005F75A4" w:rsidRPr="001B1AA2" w:rsidRDefault="005F75A4" w:rsidP="00054C4C">
            <w:pPr>
              <w:autoSpaceDE/>
              <w:autoSpaceDN/>
              <w:jc w:val="both"/>
              <w:rPr>
                <w:lang w:eastAsia="et-EE"/>
              </w:rPr>
            </w:pPr>
            <w:r w:rsidRPr="001B1AA2">
              <w:rPr>
                <w:lang w:eastAsia="et-EE"/>
              </w:rPr>
              <w:t>Lisapunkt suursaare korral</w:t>
            </w:r>
            <w:r w:rsidR="0073447B" w:rsidRPr="001B1AA2">
              <w:rPr>
                <w:lang w:eastAsia="et-EE"/>
              </w:rPr>
              <w:t xml:space="preserve">: </w:t>
            </w:r>
            <w:r w:rsidRPr="001B1AA2">
              <w:rPr>
                <w:lang w:eastAsia="et-EE"/>
              </w:rPr>
              <w:t>Saaremaa, Hiiumaa ja Muhu</w:t>
            </w:r>
          </w:p>
        </w:tc>
        <w:tc>
          <w:tcPr>
            <w:tcW w:w="992" w:type="dxa"/>
            <w:shd w:val="clear" w:color="auto" w:fill="auto"/>
            <w:vAlign w:val="center"/>
            <w:hideMark/>
          </w:tcPr>
          <w:p w14:paraId="04A8664F" w14:textId="77777777" w:rsidR="005F75A4" w:rsidRPr="008D6352" w:rsidRDefault="005F75A4" w:rsidP="00162496">
            <w:pPr>
              <w:autoSpaceDE/>
              <w:autoSpaceDN/>
              <w:jc w:val="center"/>
              <w:rPr>
                <w:b/>
                <w:bCs/>
                <w:lang w:eastAsia="et-EE"/>
              </w:rPr>
            </w:pPr>
            <w:r w:rsidRPr="008D6352">
              <w:rPr>
                <w:b/>
                <w:bCs/>
                <w:lang w:eastAsia="et-EE"/>
              </w:rPr>
              <w:t>1</w:t>
            </w:r>
          </w:p>
        </w:tc>
      </w:tr>
      <w:tr w:rsidR="0004008D" w:rsidRPr="00F1775E" w14:paraId="347D7906" w14:textId="77777777" w:rsidTr="008F05F8">
        <w:trPr>
          <w:trHeight w:val="188"/>
        </w:trPr>
        <w:tc>
          <w:tcPr>
            <w:tcW w:w="851" w:type="dxa"/>
            <w:vMerge/>
            <w:tcBorders>
              <w:bottom w:val="single" w:sz="4" w:space="0" w:color="7F7F7F" w:themeColor="text1" w:themeTint="80"/>
            </w:tcBorders>
            <w:shd w:val="clear" w:color="auto" w:fill="auto"/>
            <w:vAlign w:val="center"/>
            <w:hideMark/>
          </w:tcPr>
          <w:p w14:paraId="2E2D9A71" w14:textId="77777777" w:rsidR="005F75A4" w:rsidRPr="00AA6F7F" w:rsidRDefault="005F75A4" w:rsidP="00162496">
            <w:pPr>
              <w:autoSpaceDE/>
              <w:autoSpaceDN/>
              <w:rPr>
                <w:b/>
                <w:bCs/>
                <w:sz w:val="48"/>
                <w:szCs w:val="48"/>
                <w:lang w:eastAsia="et-EE"/>
              </w:rPr>
            </w:pPr>
          </w:p>
        </w:tc>
        <w:tc>
          <w:tcPr>
            <w:tcW w:w="709" w:type="dxa"/>
            <w:tcBorders>
              <w:bottom w:val="single" w:sz="4" w:space="0" w:color="7F7F7F" w:themeColor="text1" w:themeTint="80"/>
            </w:tcBorders>
            <w:shd w:val="clear" w:color="auto" w:fill="auto"/>
            <w:noWrap/>
            <w:vAlign w:val="center"/>
            <w:hideMark/>
          </w:tcPr>
          <w:p w14:paraId="268AAFBA" w14:textId="77777777" w:rsidR="005F75A4" w:rsidRPr="008D6352" w:rsidRDefault="005F75A4" w:rsidP="00162496">
            <w:pPr>
              <w:autoSpaceDE/>
              <w:autoSpaceDN/>
              <w:jc w:val="center"/>
              <w:rPr>
                <w:b/>
                <w:bCs/>
                <w:lang w:eastAsia="et-EE"/>
              </w:rPr>
            </w:pPr>
            <w:r w:rsidRPr="008D6352">
              <w:rPr>
                <w:b/>
                <w:bCs/>
                <w:lang w:eastAsia="et-EE"/>
              </w:rPr>
              <w:t>8</w:t>
            </w:r>
          </w:p>
        </w:tc>
        <w:tc>
          <w:tcPr>
            <w:tcW w:w="1418" w:type="dxa"/>
            <w:vMerge/>
            <w:tcBorders>
              <w:top w:val="nil"/>
              <w:bottom w:val="single" w:sz="4" w:space="0" w:color="7F7F7F" w:themeColor="text1" w:themeTint="80"/>
            </w:tcBorders>
            <w:shd w:val="clear" w:color="auto" w:fill="FDE9D9" w:themeFill="accent6" w:themeFillTint="33"/>
            <w:vAlign w:val="center"/>
            <w:hideMark/>
          </w:tcPr>
          <w:p w14:paraId="318441C5" w14:textId="77777777" w:rsidR="005F75A4" w:rsidRPr="001B1AA2" w:rsidRDefault="005F75A4" w:rsidP="00162496">
            <w:pPr>
              <w:autoSpaceDE/>
              <w:autoSpaceDN/>
              <w:rPr>
                <w:bCs/>
                <w:lang w:eastAsia="et-EE"/>
              </w:rPr>
            </w:pPr>
          </w:p>
        </w:tc>
        <w:tc>
          <w:tcPr>
            <w:tcW w:w="2835" w:type="dxa"/>
            <w:vMerge/>
            <w:tcBorders>
              <w:bottom w:val="single" w:sz="4" w:space="0" w:color="7F7F7F" w:themeColor="text1" w:themeTint="80"/>
            </w:tcBorders>
            <w:shd w:val="clear" w:color="auto" w:fill="auto"/>
            <w:vAlign w:val="center"/>
            <w:hideMark/>
          </w:tcPr>
          <w:p w14:paraId="39DBFC2E" w14:textId="77777777" w:rsidR="005F75A4" w:rsidRPr="001B1AA2" w:rsidRDefault="005F75A4" w:rsidP="00162496">
            <w:pPr>
              <w:autoSpaceDE/>
              <w:autoSpaceDN/>
              <w:rPr>
                <w:lang w:eastAsia="et-EE"/>
              </w:rPr>
            </w:pPr>
          </w:p>
        </w:tc>
        <w:tc>
          <w:tcPr>
            <w:tcW w:w="7371" w:type="dxa"/>
            <w:tcBorders>
              <w:bottom w:val="single" w:sz="4" w:space="0" w:color="7F7F7F" w:themeColor="text1" w:themeTint="80"/>
            </w:tcBorders>
            <w:shd w:val="clear" w:color="auto" w:fill="auto"/>
            <w:noWrap/>
            <w:vAlign w:val="center"/>
            <w:hideMark/>
          </w:tcPr>
          <w:p w14:paraId="476653D7" w14:textId="57DDC7A6" w:rsidR="005F75A4" w:rsidRPr="00EB06F0" w:rsidRDefault="005F75A4" w:rsidP="0034005E">
            <w:pPr>
              <w:autoSpaceDE/>
              <w:autoSpaceDN/>
              <w:jc w:val="both"/>
              <w:rPr>
                <w:highlight w:val="yellow"/>
                <w:lang w:eastAsia="et-EE"/>
              </w:rPr>
            </w:pPr>
            <w:r w:rsidRPr="00B310BF">
              <w:rPr>
                <w:lang w:eastAsia="et-EE"/>
              </w:rPr>
              <w:t>Lisapunktid</w:t>
            </w:r>
            <w:r w:rsidR="0046086F" w:rsidRPr="00B310BF">
              <w:rPr>
                <w:lang w:eastAsia="et-EE"/>
              </w:rPr>
              <w:t xml:space="preserve"> Vabariigi Valitsuse 2</w:t>
            </w:r>
            <w:r w:rsidR="00413EB5" w:rsidRPr="00B310BF">
              <w:rPr>
                <w:lang w:eastAsia="et-EE"/>
              </w:rPr>
              <w:t>4</w:t>
            </w:r>
            <w:r w:rsidR="0046086F" w:rsidRPr="00B310BF">
              <w:rPr>
                <w:lang w:eastAsia="et-EE"/>
              </w:rPr>
              <w:t>. jaanuari 201</w:t>
            </w:r>
            <w:r w:rsidR="00413EB5" w:rsidRPr="00B310BF">
              <w:rPr>
                <w:lang w:eastAsia="et-EE"/>
              </w:rPr>
              <w:t>9</w:t>
            </w:r>
            <w:r w:rsidR="0046086F" w:rsidRPr="00B310BF">
              <w:rPr>
                <w:lang w:eastAsia="et-EE"/>
              </w:rPr>
              <w:t xml:space="preserve">. a määruses nr </w:t>
            </w:r>
            <w:r w:rsidR="00413EB5" w:rsidRPr="00B310BF">
              <w:rPr>
                <w:lang w:eastAsia="et-EE"/>
              </w:rPr>
              <w:t xml:space="preserve">5 </w:t>
            </w:r>
            <w:r w:rsidR="004B7CB0" w:rsidRPr="00B310BF">
              <w:rPr>
                <w:lang w:eastAsia="et-EE"/>
              </w:rPr>
              <w:t>„</w:t>
            </w:r>
            <w:r w:rsidR="0046086F" w:rsidRPr="00B310BF">
              <w:rPr>
                <w:lang w:eastAsia="et-EE"/>
              </w:rPr>
              <w:t>Väikesaarte nimistu</w:t>
            </w:r>
            <w:r w:rsidR="004B7CB0" w:rsidRPr="00B310BF">
              <w:rPr>
                <w:lang w:eastAsia="et-EE"/>
              </w:rPr>
              <w:t>“</w:t>
            </w:r>
            <w:r w:rsidR="0046086F" w:rsidRPr="00B310BF">
              <w:rPr>
                <w:lang w:eastAsia="et-EE"/>
              </w:rPr>
              <w:t xml:space="preserve"> nimetatud </w:t>
            </w:r>
            <w:r w:rsidRPr="00B310BF">
              <w:rPr>
                <w:lang w:eastAsia="et-EE"/>
              </w:rPr>
              <w:t>väikesaare korral</w:t>
            </w:r>
            <w:r w:rsidR="00CC7FF4" w:rsidRPr="00B310BF">
              <w:rPr>
                <w:rStyle w:val="EndnoteReference"/>
                <w:lang w:eastAsia="et-EE"/>
              </w:rPr>
              <w:endnoteReference w:id="2"/>
            </w:r>
          </w:p>
        </w:tc>
        <w:tc>
          <w:tcPr>
            <w:tcW w:w="992" w:type="dxa"/>
            <w:tcBorders>
              <w:bottom w:val="single" w:sz="4" w:space="0" w:color="7F7F7F" w:themeColor="text1" w:themeTint="80"/>
            </w:tcBorders>
            <w:shd w:val="clear" w:color="auto" w:fill="auto"/>
            <w:noWrap/>
            <w:vAlign w:val="center"/>
            <w:hideMark/>
          </w:tcPr>
          <w:p w14:paraId="3BAB44DC" w14:textId="77777777" w:rsidR="005F75A4" w:rsidRPr="003D4458" w:rsidRDefault="005F75A4" w:rsidP="00162496">
            <w:pPr>
              <w:autoSpaceDE/>
              <w:autoSpaceDN/>
              <w:jc w:val="center"/>
              <w:rPr>
                <w:b/>
                <w:bCs/>
                <w:lang w:eastAsia="et-EE"/>
              </w:rPr>
            </w:pPr>
            <w:r w:rsidRPr="003D4458">
              <w:rPr>
                <w:b/>
                <w:bCs/>
                <w:lang w:eastAsia="et-EE"/>
              </w:rPr>
              <w:t>2</w:t>
            </w:r>
          </w:p>
        </w:tc>
      </w:tr>
      <w:tr w:rsidR="0004008D" w:rsidRPr="00F1775E" w14:paraId="289A7E8D" w14:textId="77777777" w:rsidTr="008F05F8">
        <w:trPr>
          <w:trHeight w:val="1396"/>
        </w:trPr>
        <w:tc>
          <w:tcPr>
            <w:tcW w:w="851" w:type="dxa"/>
            <w:tcBorders>
              <w:top w:val="single" w:sz="4" w:space="0" w:color="7F7F7F" w:themeColor="text1" w:themeTint="80"/>
            </w:tcBorders>
            <w:shd w:val="clear" w:color="auto" w:fill="auto"/>
            <w:vAlign w:val="center"/>
            <w:hideMark/>
          </w:tcPr>
          <w:p w14:paraId="4C98B17F" w14:textId="77777777" w:rsidR="005F75A4" w:rsidRPr="00EC7A18" w:rsidRDefault="005F75A4" w:rsidP="00162496">
            <w:pPr>
              <w:autoSpaceDE/>
              <w:autoSpaceDN/>
              <w:jc w:val="center"/>
              <w:rPr>
                <w:b/>
                <w:bCs/>
                <w:sz w:val="48"/>
                <w:szCs w:val="48"/>
                <w:lang w:eastAsia="et-EE"/>
              </w:rPr>
            </w:pPr>
            <w:r w:rsidRPr="00EC7A18">
              <w:rPr>
                <w:b/>
                <w:bCs/>
                <w:sz w:val="48"/>
                <w:szCs w:val="48"/>
                <w:lang w:eastAsia="et-EE"/>
              </w:rPr>
              <w:t>2</w:t>
            </w:r>
          </w:p>
        </w:tc>
        <w:tc>
          <w:tcPr>
            <w:tcW w:w="709" w:type="dxa"/>
            <w:tcBorders>
              <w:top w:val="single" w:sz="4" w:space="0" w:color="7F7F7F" w:themeColor="text1" w:themeTint="80"/>
            </w:tcBorders>
            <w:shd w:val="clear" w:color="auto" w:fill="auto"/>
            <w:noWrap/>
            <w:vAlign w:val="center"/>
            <w:hideMark/>
          </w:tcPr>
          <w:p w14:paraId="18DE3892" w14:textId="77777777" w:rsidR="005F75A4" w:rsidRPr="003D4458" w:rsidRDefault="005F75A4" w:rsidP="00162496">
            <w:pPr>
              <w:autoSpaceDE/>
              <w:autoSpaceDN/>
              <w:jc w:val="center"/>
              <w:rPr>
                <w:b/>
                <w:bCs/>
                <w:lang w:eastAsia="et-EE"/>
              </w:rPr>
            </w:pPr>
            <w:r w:rsidRPr="003D4458">
              <w:rPr>
                <w:b/>
                <w:bCs/>
                <w:lang w:eastAsia="et-EE"/>
              </w:rPr>
              <w:t>9</w:t>
            </w:r>
          </w:p>
        </w:tc>
        <w:tc>
          <w:tcPr>
            <w:tcW w:w="1418" w:type="dxa"/>
            <w:vMerge/>
            <w:tcBorders>
              <w:top w:val="single" w:sz="4" w:space="0" w:color="7F7F7F" w:themeColor="text1" w:themeTint="80"/>
              <w:bottom w:val="nil"/>
            </w:tcBorders>
            <w:shd w:val="clear" w:color="auto" w:fill="FDE9D9" w:themeFill="accent6" w:themeFillTint="33"/>
            <w:vAlign w:val="center"/>
            <w:hideMark/>
          </w:tcPr>
          <w:p w14:paraId="202CEDF1" w14:textId="77777777" w:rsidR="005F75A4" w:rsidRPr="00A733B7" w:rsidRDefault="005F75A4" w:rsidP="00162496">
            <w:pPr>
              <w:autoSpaceDE/>
              <w:autoSpaceDN/>
              <w:rPr>
                <w:bCs/>
                <w:lang w:eastAsia="et-EE"/>
              </w:rPr>
            </w:pPr>
          </w:p>
        </w:tc>
        <w:tc>
          <w:tcPr>
            <w:tcW w:w="2835" w:type="dxa"/>
            <w:tcBorders>
              <w:top w:val="single" w:sz="4" w:space="0" w:color="7F7F7F" w:themeColor="text1" w:themeTint="80"/>
            </w:tcBorders>
            <w:shd w:val="clear" w:color="auto" w:fill="auto"/>
            <w:hideMark/>
          </w:tcPr>
          <w:p w14:paraId="76B0F32A" w14:textId="77777777" w:rsidR="005F75A4" w:rsidRPr="001B1AA2" w:rsidRDefault="005F75A4" w:rsidP="00AA6F7F">
            <w:pPr>
              <w:autoSpaceDE/>
              <w:autoSpaceDN/>
              <w:rPr>
                <w:lang w:eastAsia="et-EE"/>
              </w:rPr>
            </w:pPr>
            <w:r w:rsidRPr="001B1AA2">
              <w:rPr>
                <w:lang w:eastAsia="et-EE"/>
              </w:rPr>
              <w:t>Taotleja, kes ei ole saanud ettevõtluse mitmekesistamiseks mittepõllumajanduslikku investeeringutoetust</w:t>
            </w:r>
          </w:p>
        </w:tc>
        <w:tc>
          <w:tcPr>
            <w:tcW w:w="7371" w:type="dxa"/>
            <w:tcBorders>
              <w:top w:val="single" w:sz="4" w:space="0" w:color="7F7F7F" w:themeColor="text1" w:themeTint="80"/>
            </w:tcBorders>
            <w:shd w:val="clear" w:color="auto" w:fill="auto"/>
            <w:hideMark/>
          </w:tcPr>
          <w:p w14:paraId="7D6D906F" w14:textId="211C23BD" w:rsidR="005F75A4" w:rsidRPr="00A733B7" w:rsidRDefault="005F75A4">
            <w:pPr>
              <w:autoSpaceDE/>
              <w:autoSpaceDN/>
              <w:jc w:val="both"/>
              <w:rPr>
                <w:lang w:eastAsia="et-EE"/>
              </w:rPr>
            </w:pPr>
            <w:r w:rsidRPr="001B1AA2">
              <w:rPr>
                <w:lang w:eastAsia="et-EE"/>
              </w:rPr>
              <w:t xml:space="preserve">Taotleja kohta ei ole </w:t>
            </w:r>
            <w:r w:rsidR="006A7A6D" w:rsidRPr="001B1AA2">
              <w:rPr>
                <w:lang w:eastAsia="et-EE"/>
              </w:rPr>
              <w:t xml:space="preserve">„Eesti maaelu arengukava </w:t>
            </w:r>
            <w:r w:rsidRPr="001B1AA2">
              <w:rPr>
                <w:lang w:eastAsia="et-EE"/>
              </w:rPr>
              <w:t>2007–2013</w:t>
            </w:r>
            <w:r w:rsidR="006A7A6D" w:rsidRPr="001B1AA2">
              <w:rPr>
                <w:lang w:eastAsia="et-EE"/>
              </w:rPr>
              <w:t>“</w:t>
            </w:r>
            <w:r w:rsidRPr="001B1AA2">
              <w:rPr>
                <w:lang w:eastAsia="et-EE"/>
              </w:rPr>
              <w:t xml:space="preserve"> meetme 3.1 „Majandustegevuse mitmekesistamine maapiirkonnas” ja </w:t>
            </w:r>
            <w:r w:rsidRPr="001B1AA2">
              <w:t>meetme 1.5 „Metsade majandusliku väärtuse parandamine ja metsandussaadustele lisandväärtuse andmine</w:t>
            </w:r>
            <w:r w:rsidR="00963F07">
              <w:t>“</w:t>
            </w:r>
            <w:r w:rsidRPr="001B1AA2">
              <w:t xml:space="preserve"> alategevuse </w:t>
            </w:r>
            <w:r w:rsidRPr="001B1AA2">
              <w:rPr>
                <w:lang w:eastAsia="et-EE"/>
              </w:rPr>
              <w:t>„Metsandussaaduste lisandväärtuse andmine</w:t>
            </w:r>
            <w:r w:rsidR="00CA5E9A">
              <w:rPr>
                <w:lang w:eastAsia="et-EE"/>
              </w:rPr>
              <w:t>“</w:t>
            </w:r>
            <w:r w:rsidRPr="001B1AA2">
              <w:rPr>
                <w:lang w:eastAsia="et-EE"/>
              </w:rPr>
              <w:t xml:space="preserve"> raames tehtud toetuse maksmise otsust </w:t>
            </w:r>
            <w:r w:rsidR="006A7A6D" w:rsidRPr="001B1AA2">
              <w:rPr>
                <w:lang w:eastAsia="et-EE"/>
              </w:rPr>
              <w:t xml:space="preserve">ega </w:t>
            </w:r>
            <w:r w:rsidRPr="001B1AA2">
              <w:rPr>
                <w:lang w:eastAsia="et-EE"/>
              </w:rPr>
              <w:t>käesoleva meetme raames tehtud taotluse rahuldamise otsust</w:t>
            </w:r>
          </w:p>
        </w:tc>
        <w:tc>
          <w:tcPr>
            <w:tcW w:w="992" w:type="dxa"/>
            <w:tcBorders>
              <w:top w:val="single" w:sz="4" w:space="0" w:color="7F7F7F" w:themeColor="text1" w:themeTint="80"/>
            </w:tcBorders>
            <w:shd w:val="clear" w:color="auto" w:fill="auto"/>
            <w:vAlign w:val="center"/>
            <w:hideMark/>
          </w:tcPr>
          <w:p w14:paraId="6F4AEE07" w14:textId="77777777" w:rsidR="005F75A4" w:rsidRPr="003D4458" w:rsidRDefault="005F75A4" w:rsidP="00162496">
            <w:pPr>
              <w:autoSpaceDE/>
              <w:autoSpaceDN/>
              <w:jc w:val="center"/>
              <w:rPr>
                <w:b/>
                <w:bCs/>
                <w:lang w:eastAsia="et-EE"/>
              </w:rPr>
            </w:pPr>
            <w:r w:rsidRPr="003D4458">
              <w:rPr>
                <w:b/>
                <w:bCs/>
                <w:lang w:eastAsia="et-EE"/>
              </w:rPr>
              <w:t>8</w:t>
            </w:r>
          </w:p>
        </w:tc>
      </w:tr>
      <w:tr w:rsidR="0004008D" w:rsidRPr="00F1775E" w14:paraId="666914CF" w14:textId="77777777" w:rsidTr="008F05F8">
        <w:trPr>
          <w:trHeight w:val="564"/>
        </w:trPr>
        <w:tc>
          <w:tcPr>
            <w:tcW w:w="851" w:type="dxa"/>
            <w:vMerge w:val="restart"/>
            <w:shd w:val="clear" w:color="auto" w:fill="auto"/>
            <w:vAlign w:val="center"/>
            <w:hideMark/>
          </w:tcPr>
          <w:p w14:paraId="49F5B260" w14:textId="77777777" w:rsidR="005F75A4" w:rsidRPr="00EC7A18" w:rsidRDefault="005F75A4" w:rsidP="00162496">
            <w:pPr>
              <w:autoSpaceDE/>
              <w:autoSpaceDN/>
              <w:jc w:val="center"/>
              <w:rPr>
                <w:b/>
                <w:bCs/>
                <w:sz w:val="48"/>
                <w:szCs w:val="48"/>
                <w:lang w:eastAsia="et-EE"/>
              </w:rPr>
            </w:pPr>
            <w:r w:rsidRPr="00EC7A18">
              <w:rPr>
                <w:b/>
                <w:bCs/>
                <w:sz w:val="48"/>
                <w:szCs w:val="48"/>
                <w:lang w:eastAsia="et-EE"/>
              </w:rPr>
              <w:t>3</w:t>
            </w:r>
          </w:p>
        </w:tc>
        <w:tc>
          <w:tcPr>
            <w:tcW w:w="709" w:type="dxa"/>
            <w:shd w:val="clear" w:color="auto" w:fill="auto"/>
            <w:noWrap/>
            <w:vAlign w:val="center"/>
            <w:hideMark/>
          </w:tcPr>
          <w:p w14:paraId="71C8EDD4" w14:textId="77777777" w:rsidR="005F75A4" w:rsidRPr="003D4458" w:rsidRDefault="005F75A4" w:rsidP="00162496">
            <w:pPr>
              <w:autoSpaceDE/>
              <w:autoSpaceDN/>
              <w:jc w:val="center"/>
              <w:rPr>
                <w:b/>
                <w:bCs/>
                <w:lang w:eastAsia="et-EE"/>
              </w:rPr>
            </w:pPr>
            <w:r w:rsidRPr="003D4458">
              <w:rPr>
                <w:b/>
                <w:bCs/>
                <w:lang w:eastAsia="et-EE"/>
              </w:rPr>
              <w:t>10</w:t>
            </w:r>
          </w:p>
        </w:tc>
        <w:tc>
          <w:tcPr>
            <w:tcW w:w="1418" w:type="dxa"/>
            <w:vMerge/>
            <w:tcBorders>
              <w:top w:val="nil"/>
              <w:bottom w:val="nil"/>
            </w:tcBorders>
            <w:shd w:val="clear" w:color="auto" w:fill="FDE9D9" w:themeFill="accent6" w:themeFillTint="33"/>
            <w:vAlign w:val="center"/>
            <w:hideMark/>
          </w:tcPr>
          <w:p w14:paraId="4458DFDE" w14:textId="77777777" w:rsidR="005F75A4" w:rsidRPr="00A733B7" w:rsidRDefault="005F75A4" w:rsidP="00162496">
            <w:pPr>
              <w:autoSpaceDE/>
              <w:autoSpaceDN/>
              <w:rPr>
                <w:bCs/>
                <w:lang w:eastAsia="et-EE"/>
              </w:rPr>
            </w:pPr>
          </w:p>
        </w:tc>
        <w:tc>
          <w:tcPr>
            <w:tcW w:w="2835" w:type="dxa"/>
            <w:vMerge w:val="restart"/>
            <w:shd w:val="clear" w:color="auto" w:fill="auto"/>
            <w:vAlign w:val="center"/>
            <w:hideMark/>
          </w:tcPr>
          <w:p w14:paraId="2091193F" w14:textId="24462A08" w:rsidR="005F75A4" w:rsidRPr="00537A3E" w:rsidRDefault="009F6197" w:rsidP="00AA6F7F">
            <w:pPr>
              <w:autoSpaceDE/>
              <w:autoSpaceDN/>
              <w:rPr>
                <w:highlight w:val="green"/>
                <w:lang w:eastAsia="et-EE"/>
              </w:rPr>
            </w:pPr>
            <w:r w:rsidRPr="00F21B5D">
              <w:rPr>
                <w:lang w:eastAsia="et-EE"/>
              </w:rPr>
              <w:t xml:space="preserve">Taotleja, kelle kavandatav </w:t>
            </w:r>
            <w:r w:rsidR="005F75A4" w:rsidRPr="00F21B5D">
              <w:rPr>
                <w:lang w:eastAsia="et-EE"/>
              </w:rPr>
              <w:t xml:space="preserve">investeering avaldab </w:t>
            </w:r>
            <w:r w:rsidR="00147D15" w:rsidRPr="00F21B5D">
              <w:rPr>
                <w:lang w:eastAsia="et-EE"/>
              </w:rPr>
              <w:t xml:space="preserve">positiivset </w:t>
            </w:r>
            <w:r w:rsidR="005F75A4" w:rsidRPr="00F21B5D">
              <w:rPr>
                <w:lang w:eastAsia="et-EE"/>
              </w:rPr>
              <w:t>mõju maapiirkonna tööhõivele</w:t>
            </w:r>
          </w:p>
        </w:tc>
        <w:tc>
          <w:tcPr>
            <w:tcW w:w="7371" w:type="dxa"/>
            <w:shd w:val="clear" w:color="auto" w:fill="auto"/>
            <w:hideMark/>
          </w:tcPr>
          <w:p w14:paraId="7982584E" w14:textId="6658324C" w:rsidR="005F75A4" w:rsidRPr="00F21B5D" w:rsidRDefault="005F75A4" w:rsidP="00EC2C47">
            <w:pPr>
              <w:autoSpaceDE/>
              <w:autoSpaceDN/>
              <w:jc w:val="both"/>
              <w:rPr>
                <w:lang w:eastAsia="et-EE"/>
              </w:rPr>
            </w:pPr>
            <w:r w:rsidRPr="00F21B5D">
              <w:rPr>
                <w:lang w:eastAsia="et-EE"/>
              </w:rPr>
              <w:t xml:space="preserve">Investeeringu tulemusel luuakse </w:t>
            </w:r>
            <w:r w:rsidR="00513883" w:rsidRPr="00F21B5D">
              <w:rPr>
                <w:lang w:eastAsia="et-EE"/>
              </w:rPr>
              <w:t xml:space="preserve">tegevuse elluviimise asukohta </w:t>
            </w:r>
            <w:r w:rsidRPr="00F21B5D">
              <w:rPr>
                <w:lang w:eastAsia="et-EE"/>
              </w:rPr>
              <w:t>juurde üks uus täistööajaga töökoht</w:t>
            </w:r>
            <w:r w:rsidR="004B3D61" w:rsidRPr="00F21B5D">
              <w:rPr>
                <w:lang w:eastAsia="et-EE"/>
              </w:rPr>
              <w:t>, misläbi suureneb olemasolevate töötajate arv ühe võrra</w:t>
            </w:r>
          </w:p>
        </w:tc>
        <w:tc>
          <w:tcPr>
            <w:tcW w:w="992" w:type="dxa"/>
            <w:shd w:val="clear" w:color="auto" w:fill="auto"/>
            <w:vAlign w:val="center"/>
            <w:hideMark/>
          </w:tcPr>
          <w:p w14:paraId="1882A10C" w14:textId="77777777" w:rsidR="005F75A4" w:rsidRPr="003D4458" w:rsidRDefault="005F75A4" w:rsidP="00162496">
            <w:pPr>
              <w:autoSpaceDE/>
              <w:autoSpaceDN/>
              <w:jc w:val="center"/>
              <w:rPr>
                <w:b/>
                <w:bCs/>
                <w:lang w:eastAsia="et-EE"/>
              </w:rPr>
            </w:pPr>
            <w:r w:rsidRPr="003D4458">
              <w:rPr>
                <w:b/>
                <w:bCs/>
                <w:lang w:eastAsia="et-EE"/>
              </w:rPr>
              <w:t>4</w:t>
            </w:r>
          </w:p>
        </w:tc>
      </w:tr>
      <w:tr w:rsidR="0004008D" w:rsidRPr="00F1775E" w14:paraId="2B2B1C6E" w14:textId="77777777" w:rsidTr="008F05F8">
        <w:trPr>
          <w:trHeight w:val="474"/>
        </w:trPr>
        <w:tc>
          <w:tcPr>
            <w:tcW w:w="851" w:type="dxa"/>
            <w:vMerge/>
            <w:shd w:val="clear" w:color="auto" w:fill="auto"/>
            <w:vAlign w:val="center"/>
            <w:hideMark/>
          </w:tcPr>
          <w:p w14:paraId="68504607"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6A9B6BE8" w14:textId="77777777" w:rsidR="005F75A4" w:rsidRPr="003D4458" w:rsidRDefault="005F75A4" w:rsidP="00162496">
            <w:pPr>
              <w:autoSpaceDE/>
              <w:autoSpaceDN/>
              <w:jc w:val="center"/>
              <w:rPr>
                <w:b/>
                <w:bCs/>
                <w:lang w:eastAsia="et-EE"/>
              </w:rPr>
            </w:pPr>
            <w:r w:rsidRPr="003D4458">
              <w:rPr>
                <w:b/>
                <w:bCs/>
                <w:lang w:eastAsia="et-EE"/>
              </w:rPr>
              <w:t>11</w:t>
            </w:r>
          </w:p>
        </w:tc>
        <w:tc>
          <w:tcPr>
            <w:tcW w:w="1418" w:type="dxa"/>
            <w:vMerge/>
            <w:tcBorders>
              <w:top w:val="nil"/>
              <w:bottom w:val="nil"/>
            </w:tcBorders>
            <w:shd w:val="clear" w:color="auto" w:fill="FDE9D9" w:themeFill="accent6" w:themeFillTint="33"/>
            <w:vAlign w:val="center"/>
            <w:hideMark/>
          </w:tcPr>
          <w:p w14:paraId="67879CAA" w14:textId="77777777" w:rsidR="005F75A4" w:rsidRPr="00A733B7" w:rsidRDefault="005F75A4" w:rsidP="00162496">
            <w:pPr>
              <w:autoSpaceDE/>
              <w:autoSpaceDN/>
              <w:rPr>
                <w:bCs/>
                <w:lang w:eastAsia="et-EE"/>
              </w:rPr>
            </w:pPr>
          </w:p>
        </w:tc>
        <w:tc>
          <w:tcPr>
            <w:tcW w:w="2835" w:type="dxa"/>
            <w:vMerge/>
            <w:shd w:val="clear" w:color="auto" w:fill="auto"/>
            <w:vAlign w:val="center"/>
            <w:hideMark/>
          </w:tcPr>
          <w:p w14:paraId="5892097C" w14:textId="77777777" w:rsidR="005F75A4" w:rsidRPr="00537A3E" w:rsidRDefault="005F75A4" w:rsidP="00162496">
            <w:pPr>
              <w:autoSpaceDE/>
              <w:autoSpaceDN/>
              <w:rPr>
                <w:highlight w:val="green"/>
                <w:lang w:eastAsia="et-EE"/>
              </w:rPr>
            </w:pPr>
          </w:p>
        </w:tc>
        <w:tc>
          <w:tcPr>
            <w:tcW w:w="7371" w:type="dxa"/>
            <w:shd w:val="clear" w:color="auto" w:fill="auto"/>
            <w:hideMark/>
          </w:tcPr>
          <w:p w14:paraId="7582D12E" w14:textId="5DAA70EE" w:rsidR="005F75A4" w:rsidRPr="00F21B5D" w:rsidRDefault="005F75A4" w:rsidP="00EC2C47">
            <w:pPr>
              <w:autoSpaceDE/>
              <w:autoSpaceDN/>
              <w:jc w:val="both"/>
              <w:rPr>
                <w:lang w:eastAsia="et-EE"/>
              </w:rPr>
            </w:pPr>
            <w:r w:rsidRPr="00F21B5D">
              <w:rPr>
                <w:lang w:eastAsia="et-EE"/>
              </w:rPr>
              <w:t xml:space="preserve">Investeeringu tulemusel luuakse </w:t>
            </w:r>
            <w:r w:rsidR="00513883" w:rsidRPr="00F21B5D">
              <w:rPr>
                <w:lang w:eastAsia="et-EE"/>
              </w:rPr>
              <w:t xml:space="preserve">tegevuse elluviimise asukohta </w:t>
            </w:r>
            <w:r w:rsidRPr="00F21B5D">
              <w:rPr>
                <w:lang w:eastAsia="et-EE"/>
              </w:rPr>
              <w:t>juurde kaks uut täistööajaga töökohta</w:t>
            </w:r>
            <w:r w:rsidR="003A38E1" w:rsidRPr="00F21B5D">
              <w:rPr>
                <w:lang w:eastAsia="et-EE"/>
              </w:rPr>
              <w:t>, misläbi</w:t>
            </w:r>
            <w:r w:rsidR="005F612C" w:rsidRPr="00F21B5D">
              <w:t xml:space="preserve"> </w:t>
            </w:r>
            <w:r w:rsidR="005F612C" w:rsidRPr="00F21B5D">
              <w:rPr>
                <w:lang w:eastAsia="et-EE"/>
              </w:rPr>
              <w:t>suureneb olemasolevate töötajate arv kahe võrra</w:t>
            </w:r>
          </w:p>
        </w:tc>
        <w:tc>
          <w:tcPr>
            <w:tcW w:w="992" w:type="dxa"/>
            <w:shd w:val="clear" w:color="auto" w:fill="auto"/>
            <w:vAlign w:val="center"/>
            <w:hideMark/>
          </w:tcPr>
          <w:p w14:paraId="369FCA92" w14:textId="77777777" w:rsidR="005F75A4" w:rsidRPr="003D4458" w:rsidRDefault="005F75A4" w:rsidP="00162496">
            <w:pPr>
              <w:autoSpaceDE/>
              <w:autoSpaceDN/>
              <w:jc w:val="center"/>
              <w:rPr>
                <w:b/>
                <w:bCs/>
                <w:lang w:eastAsia="et-EE"/>
              </w:rPr>
            </w:pPr>
            <w:r w:rsidRPr="003D4458">
              <w:rPr>
                <w:b/>
                <w:bCs/>
                <w:lang w:eastAsia="et-EE"/>
              </w:rPr>
              <w:t>8</w:t>
            </w:r>
          </w:p>
        </w:tc>
      </w:tr>
      <w:tr w:rsidR="0004008D" w:rsidRPr="00F1775E" w14:paraId="6984ED52" w14:textId="77777777" w:rsidTr="008F05F8">
        <w:trPr>
          <w:trHeight w:val="512"/>
        </w:trPr>
        <w:tc>
          <w:tcPr>
            <w:tcW w:w="851" w:type="dxa"/>
            <w:vMerge/>
            <w:shd w:val="clear" w:color="auto" w:fill="auto"/>
            <w:vAlign w:val="center"/>
            <w:hideMark/>
          </w:tcPr>
          <w:p w14:paraId="2FEE7630" w14:textId="77777777" w:rsidR="005F75A4" w:rsidRPr="00AA6F7F" w:rsidRDefault="005F75A4" w:rsidP="00162496">
            <w:pPr>
              <w:autoSpaceDE/>
              <w:autoSpaceDN/>
              <w:rPr>
                <w:b/>
                <w:bCs/>
                <w:sz w:val="48"/>
                <w:szCs w:val="48"/>
                <w:lang w:eastAsia="et-EE"/>
              </w:rPr>
            </w:pPr>
          </w:p>
        </w:tc>
        <w:tc>
          <w:tcPr>
            <w:tcW w:w="709" w:type="dxa"/>
            <w:shd w:val="clear" w:color="auto" w:fill="auto"/>
            <w:noWrap/>
            <w:vAlign w:val="center"/>
            <w:hideMark/>
          </w:tcPr>
          <w:p w14:paraId="6A38DB30" w14:textId="77777777" w:rsidR="005F75A4" w:rsidRPr="003D4458" w:rsidRDefault="005F75A4" w:rsidP="00162496">
            <w:pPr>
              <w:autoSpaceDE/>
              <w:autoSpaceDN/>
              <w:jc w:val="center"/>
              <w:rPr>
                <w:b/>
                <w:bCs/>
                <w:lang w:eastAsia="et-EE"/>
              </w:rPr>
            </w:pPr>
            <w:r w:rsidRPr="003D4458">
              <w:rPr>
                <w:b/>
                <w:bCs/>
                <w:lang w:eastAsia="et-EE"/>
              </w:rPr>
              <w:t>12</w:t>
            </w:r>
          </w:p>
        </w:tc>
        <w:tc>
          <w:tcPr>
            <w:tcW w:w="1418" w:type="dxa"/>
            <w:vMerge/>
            <w:tcBorders>
              <w:top w:val="nil"/>
              <w:bottom w:val="nil"/>
            </w:tcBorders>
            <w:shd w:val="clear" w:color="auto" w:fill="FDE9D9" w:themeFill="accent6" w:themeFillTint="33"/>
            <w:vAlign w:val="center"/>
            <w:hideMark/>
          </w:tcPr>
          <w:p w14:paraId="223DB2C8" w14:textId="77777777" w:rsidR="005F75A4" w:rsidRPr="00A733B7" w:rsidRDefault="005F75A4" w:rsidP="00162496">
            <w:pPr>
              <w:autoSpaceDE/>
              <w:autoSpaceDN/>
              <w:rPr>
                <w:bCs/>
                <w:lang w:eastAsia="et-EE"/>
              </w:rPr>
            </w:pPr>
          </w:p>
        </w:tc>
        <w:tc>
          <w:tcPr>
            <w:tcW w:w="2835" w:type="dxa"/>
            <w:vMerge/>
            <w:shd w:val="clear" w:color="auto" w:fill="auto"/>
            <w:vAlign w:val="center"/>
            <w:hideMark/>
          </w:tcPr>
          <w:p w14:paraId="34005D2D" w14:textId="77777777" w:rsidR="005F75A4" w:rsidRPr="00537A3E" w:rsidRDefault="005F75A4" w:rsidP="00162496">
            <w:pPr>
              <w:autoSpaceDE/>
              <w:autoSpaceDN/>
              <w:rPr>
                <w:highlight w:val="green"/>
                <w:lang w:eastAsia="et-EE"/>
              </w:rPr>
            </w:pPr>
          </w:p>
        </w:tc>
        <w:tc>
          <w:tcPr>
            <w:tcW w:w="7371" w:type="dxa"/>
            <w:shd w:val="clear" w:color="auto" w:fill="auto"/>
            <w:hideMark/>
          </w:tcPr>
          <w:p w14:paraId="0D035BDF" w14:textId="21AD75B5" w:rsidR="005F75A4" w:rsidRPr="00F21B5D" w:rsidRDefault="005F75A4" w:rsidP="00EC2C47">
            <w:pPr>
              <w:autoSpaceDE/>
              <w:autoSpaceDN/>
              <w:jc w:val="both"/>
              <w:rPr>
                <w:lang w:eastAsia="et-EE"/>
              </w:rPr>
            </w:pPr>
            <w:r w:rsidRPr="00F21B5D">
              <w:rPr>
                <w:lang w:eastAsia="et-EE"/>
              </w:rPr>
              <w:t xml:space="preserve">Investeeringu tulemusel luuakse </w:t>
            </w:r>
            <w:r w:rsidR="00513883" w:rsidRPr="00F21B5D">
              <w:rPr>
                <w:lang w:eastAsia="et-EE"/>
              </w:rPr>
              <w:t xml:space="preserve">tegevuse elluviimise asukohta </w:t>
            </w:r>
            <w:r w:rsidRPr="00F21B5D">
              <w:rPr>
                <w:lang w:eastAsia="et-EE"/>
              </w:rPr>
              <w:t>juurde vähemalt kolm uut täistööajaga töökohta</w:t>
            </w:r>
            <w:r w:rsidR="005F612C" w:rsidRPr="00F21B5D">
              <w:rPr>
                <w:lang w:eastAsia="et-EE"/>
              </w:rPr>
              <w:t>, misläbi</w:t>
            </w:r>
            <w:r w:rsidR="005F612C" w:rsidRPr="00F21B5D">
              <w:t xml:space="preserve"> </w:t>
            </w:r>
            <w:r w:rsidR="005F612C" w:rsidRPr="00F21B5D">
              <w:rPr>
                <w:lang w:eastAsia="et-EE"/>
              </w:rPr>
              <w:t>suureneb olemasolevate töötajate arv vähemalt kolme võrra</w:t>
            </w:r>
          </w:p>
        </w:tc>
        <w:tc>
          <w:tcPr>
            <w:tcW w:w="992" w:type="dxa"/>
            <w:shd w:val="clear" w:color="auto" w:fill="auto"/>
            <w:vAlign w:val="center"/>
            <w:hideMark/>
          </w:tcPr>
          <w:p w14:paraId="54E8294A" w14:textId="77777777" w:rsidR="005F75A4" w:rsidRPr="003D4458" w:rsidRDefault="005F75A4" w:rsidP="00162496">
            <w:pPr>
              <w:autoSpaceDE/>
              <w:autoSpaceDN/>
              <w:jc w:val="center"/>
              <w:rPr>
                <w:b/>
                <w:bCs/>
                <w:lang w:eastAsia="et-EE"/>
              </w:rPr>
            </w:pPr>
            <w:r w:rsidRPr="003D4458">
              <w:rPr>
                <w:b/>
                <w:bCs/>
                <w:lang w:eastAsia="et-EE"/>
              </w:rPr>
              <w:t>12</w:t>
            </w:r>
          </w:p>
        </w:tc>
      </w:tr>
      <w:tr w:rsidR="0004008D" w:rsidRPr="00F1775E" w14:paraId="5993935C" w14:textId="77777777" w:rsidTr="008F05F8">
        <w:trPr>
          <w:trHeight w:val="1380"/>
        </w:trPr>
        <w:tc>
          <w:tcPr>
            <w:tcW w:w="851" w:type="dxa"/>
            <w:shd w:val="clear" w:color="auto" w:fill="auto"/>
            <w:vAlign w:val="center"/>
          </w:tcPr>
          <w:p w14:paraId="2B916325" w14:textId="77777777" w:rsidR="00E63771" w:rsidRPr="00EC7A18" w:rsidRDefault="00E63771" w:rsidP="005F75A4">
            <w:pPr>
              <w:autoSpaceDE/>
              <w:autoSpaceDN/>
              <w:jc w:val="center"/>
              <w:rPr>
                <w:b/>
                <w:bCs/>
                <w:sz w:val="48"/>
                <w:szCs w:val="48"/>
                <w:lang w:eastAsia="et-EE"/>
              </w:rPr>
            </w:pPr>
            <w:r w:rsidRPr="00EC7A18">
              <w:rPr>
                <w:b/>
                <w:bCs/>
                <w:sz w:val="48"/>
                <w:szCs w:val="48"/>
                <w:lang w:eastAsia="et-EE"/>
              </w:rPr>
              <w:t>4</w:t>
            </w:r>
          </w:p>
        </w:tc>
        <w:tc>
          <w:tcPr>
            <w:tcW w:w="709" w:type="dxa"/>
            <w:shd w:val="clear" w:color="auto" w:fill="auto"/>
            <w:noWrap/>
            <w:vAlign w:val="center"/>
          </w:tcPr>
          <w:p w14:paraId="03953BB1" w14:textId="77777777" w:rsidR="00E63771" w:rsidRPr="003D4458" w:rsidRDefault="00E63771" w:rsidP="00E63771">
            <w:pPr>
              <w:autoSpaceDE/>
              <w:autoSpaceDN/>
              <w:jc w:val="center"/>
              <w:rPr>
                <w:b/>
                <w:bCs/>
                <w:lang w:eastAsia="et-EE"/>
              </w:rPr>
            </w:pPr>
            <w:r w:rsidRPr="003D4458">
              <w:rPr>
                <w:b/>
                <w:bCs/>
                <w:lang w:eastAsia="et-EE"/>
              </w:rPr>
              <w:t>13</w:t>
            </w:r>
          </w:p>
        </w:tc>
        <w:tc>
          <w:tcPr>
            <w:tcW w:w="1418" w:type="dxa"/>
            <w:vMerge/>
            <w:tcBorders>
              <w:top w:val="nil"/>
              <w:bottom w:val="nil"/>
            </w:tcBorders>
            <w:shd w:val="clear" w:color="auto" w:fill="FDE9D9" w:themeFill="accent6" w:themeFillTint="33"/>
            <w:vAlign w:val="center"/>
          </w:tcPr>
          <w:p w14:paraId="0F1FA017" w14:textId="77777777" w:rsidR="00E63771" w:rsidRPr="00A733B7" w:rsidRDefault="00E63771" w:rsidP="00162496">
            <w:pPr>
              <w:autoSpaceDE/>
              <w:autoSpaceDN/>
              <w:rPr>
                <w:bCs/>
                <w:lang w:eastAsia="et-EE"/>
              </w:rPr>
            </w:pPr>
          </w:p>
        </w:tc>
        <w:tc>
          <w:tcPr>
            <w:tcW w:w="2835" w:type="dxa"/>
            <w:shd w:val="clear" w:color="auto" w:fill="auto"/>
            <w:vAlign w:val="center"/>
          </w:tcPr>
          <w:p w14:paraId="4B4D3AF7" w14:textId="4428F3D5" w:rsidR="00E63771" w:rsidRPr="001B1AA2" w:rsidRDefault="00E63771" w:rsidP="00FF7347">
            <w:pPr>
              <w:autoSpaceDE/>
              <w:autoSpaceDN/>
              <w:rPr>
                <w:lang w:eastAsia="et-EE"/>
              </w:rPr>
            </w:pPr>
            <w:r w:rsidRPr="001B1AA2">
              <w:rPr>
                <w:lang w:eastAsia="et-EE"/>
              </w:rPr>
              <w:t xml:space="preserve">Taotleja, kelle </w:t>
            </w:r>
            <w:r w:rsidR="00282826" w:rsidRPr="001B1AA2">
              <w:rPr>
                <w:lang w:eastAsia="et-EE"/>
              </w:rPr>
              <w:t xml:space="preserve">kavandatav </w:t>
            </w:r>
            <w:r w:rsidRPr="001B1AA2">
              <w:rPr>
                <w:lang w:eastAsia="et-EE"/>
              </w:rPr>
              <w:t>investeering avaldab positiivset mõju noorte ettevõtlusele</w:t>
            </w:r>
          </w:p>
        </w:tc>
        <w:tc>
          <w:tcPr>
            <w:tcW w:w="7371" w:type="dxa"/>
            <w:shd w:val="clear" w:color="auto" w:fill="auto"/>
          </w:tcPr>
          <w:p w14:paraId="6CDC00CD" w14:textId="486F4F81" w:rsidR="00E63771" w:rsidRPr="00F21B5D" w:rsidRDefault="00E63771" w:rsidP="00F3041B">
            <w:pPr>
              <w:jc w:val="both"/>
              <w:rPr>
                <w:lang w:eastAsia="et-EE"/>
              </w:rPr>
            </w:pPr>
            <w:r w:rsidRPr="00F21B5D">
              <w:rPr>
                <w:lang w:eastAsia="et-EE"/>
              </w:rPr>
              <w:t>Taotleja on noor ettevõtja. Taotluse esitamise ajal on füüsilisest isikust ettevõtja kuni 40-aastane. Äriühingu puhul on kõik osanikud või aktsionärid</w:t>
            </w:r>
            <w:r w:rsidR="000F07D1" w:rsidRPr="00F21B5D">
              <w:rPr>
                <w:lang w:eastAsia="et-EE"/>
              </w:rPr>
              <w:t xml:space="preserve"> ja juhatuse liikmed</w:t>
            </w:r>
            <w:r w:rsidRPr="00F21B5D">
              <w:rPr>
                <w:lang w:eastAsia="et-EE"/>
              </w:rPr>
              <w:t xml:space="preserve"> taotluse esitamise ajal kuni 40-aastased füüsilised isikud. Tulundusühistu puhul on kõik juhatuse liikmed taotluse esitamise ajal kuni 40-aastased füüsilised isikud</w:t>
            </w:r>
          </w:p>
        </w:tc>
        <w:tc>
          <w:tcPr>
            <w:tcW w:w="992" w:type="dxa"/>
            <w:shd w:val="clear" w:color="auto" w:fill="auto"/>
            <w:vAlign w:val="center"/>
          </w:tcPr>
          <w:p w14:paraId="4F17A7F7" w14:textId="77777777" w:rsidR="00E63771" w:rsidRPr="003D4458" w:rsidRDefault="00DF23B2" w:rsidP="00162496">
            <w:pPr>
              <w:jc w:val="center"/>
              <w:rPr>
                <w:b/>
                <w:bCs/>
                <w:lang w:eastAsia="et-EE"/>
              </w:rPr>
            </w:pPr>
            <w:r w:rsidRPr="003D4458">
              <w:rPr>
                <w:b/>
                <w:bCs/>
                <w:lang w:eastAsia="et-EE"/>
              </w:rPr>
              <w:t>4</w:t>
            </w:r>
          </w:p>
        </w:tc>
      </w:tr>
      <w:tr w:rsidR="0004008D" w:rsidRPr="00F1775E" w14:paraId="1E00B450" w14:textId="77777777" w:rsidTr="008F05F8">
        <w:trPr>
          <w:trHeight w:val="981"/>
        </w:trPr>
        <w:tc>
          <w:tcPr>
            <w:tcW w:w="851" w:type="dxa"/>
            <w:shd w:val="clear" w:color="auto" w:fill="auto"/>
            <w:vAlign w:val="center"/>
          </w:tcPr>
          <w:p w14:paraId="0D890817" w14:textId="77777777" w:rsidR="00A63C69" w:rsidRPr="00EC7A18" w:rsidRDefault="00A63C69" w:rsidP="005F75A4">
            <w:pPr>
              <w:autoSpaceDE/>
              <w:autoSpaceDN/>
              <w:jc w:val="center"/>
              <w:rPr>
                <w:b/>
                <w:bCs/>
                <w:sz w:val="48"/>
                <w:szCs w:val="48"/>
                <w:lang w:eastAsia="et-EE"/>
              </w:rPr>
            </w:pPr>
            <w:r w:rsidRPr="00EC7A18">
              <w:rPr>
                <w:b/>
                <w:bCs/>
                <w:sz w:val="48"/>
                <w:szCs w:val="48"/>
                <w:lang w:eastAsia="et-EE"/>
              </w:rPr>
              <w:t>5</w:t>
            </w:r>
          </w:p>
        </w:tc>
        <w:tc>
          <w:tcPr>
            <w:tcW w:w="709" w:type="dxa"/>
            <w:shd w:val="clear" w:color="auto" w:fill="auto"/>
            <w:noWrap/>
            <w:vAlign w:val="center"/>
          </w:tcPr>
          <w:p w14:paraId="5D0821C3" w14:textId="77777777" w:rsidR="00A63C69" w:rsidRPr="003D4458" w:rsidRDefault="00A63C69" w:rsidP="00A63C69">
            <w:pPr>
              <w:autoSpaceDE/>
              <w:autoSpaceDN/>
              <w:jc w:val="center"/>
              <w:rPr>
                <w:b/>
                <w:bCs/>
                <w:lang w:eastAsia="et-EE"/>
              </w:rPr>
            </w:pPr>
            <w:r w:rsidRPr="003D4458">
              <w:rPr>
                <w:b/>
                <w:bCs/>
                <w:lang w:eastAsia="et-EE"/>
              </w:rPr>
              <w:t>14</w:t>
            </w:r>
          </w:p>
        </w:tc>
        <w:tc>
          <w:tcPr>
            <w:tcW w:w="1418" w:type="dxa"/>
            <w:vMerge/>
            <w:tcBorders>
              <w:top w:val="nil"/>
              <w:bottom w:val="nil"/>
            </w:tcBorders>
            <w:shd w:val="clear" w:color="auto" w:fill="FDE9D9" w:themeFill="accent6" w:themeFillTint="33"/>
            <w:vAlign w:val="center"/>
          </w:tcPr>
          <w:p w14:paraId="1C0413A7" w14:textId="77777777" w:rsidR="00A63C69" w:rsidRPr="00A733B7" w:rsidRDefault="00A63C69" w:rsidP="00162496">
            <w:pPr>
              <w:autoSpaceDE/>
              <w:autoSpaceDN/>
              <w:rPr>
                <w:bCs/>
                <w:lang w:eastAsia="et-EE"/>
              </w:rPr>
            </w:pPr>
          </w:p>
        </w:tc>
        <w:tc>
          <w:tcPr>
            <w:tcW w:w="2835" w:type="dxa"/>
            <w:shd w:val="clear" w:color="auto" w:fill="auto"/>
            <w:vAlign w:val="center"/>
          </w:tcPr>
          <w:p w14:paraId="6372B107" w14:textId="721F071F" w:rsidR="00A63C69" w:rsidRPr="001B1AA2" w:rsidRDefault="00A63C69" w:rsidP="00162496">
            <w:pPr>
              <w:autoSpaceDE/>
              <w:autoSpaceDN/>
              <w:rPr>
                <w:lang w:eastAsia="et-EE"/>
              </w:rPr>
            </w:pPr>
            <w:r w:rsidRPr="001B1AA2">
              <w:rPr>
                <w:lang w:eastAsia="et-EE"/>
              </w:rPr>
              <w:t xml:space="preserve">Taotleja, kelle </w:t>
            </w:r>
            <w:r w:rsidR="00282826" w:rsidRPr="001B1AA2">
              <w:rPr>
                <w:lang w:eastAsia="et-EE"/>
              </w:rPr>
              <w:t xml:space="preserve">kavandatav </w:t>
            </w:r>
            <w:r w:rsidRPr="001B1AA2">
              <w:rPr>
                <w:lang w:eastAsia="et-EE"/>
              </w:rPr>
              <w:t>investeering avaldab positiivset mõju puuetega inimestele</w:t>
            </w:r>
          </w:p>
        </w:tc>
        <w:tc>
          <w:tcPr>
            <w:tcW w:w="7371" w:type="dxa"/>
            <w:shd w:val="clear" w:color="auto" w:fill="auto"/>
            <w:vAlign w:val="center"/>
          </w:tcPr>
          <w:p w14:paraId="41FE3EB2" w14:textId="5AFF9293" w:rsidR="00A63C69" w:rsidRPr="00F21B5D" w:rsidRDefault="00AB01C3" w:rsidP="005C11EC">
            <w:pPr>
              <w:autoSpaceDE/>
              <w:autoSpaceDN/>
              <w:jc w:val="both"/>
              <w:rPr>
                <w:lang w:eastAsia="et-EE"/>
              </w:rPr>
            </w:pPr>
            <w:r w:rsidRPr="00F21B5D">
              <w:rPr>
                <w:lang w:eastAsia="et-EE"/>
              </w:rPr>
              <w:t>T</w:t>
            </w:r>
            <w:r w:rsidR="00A63C69" w:rsidRPr="00F21B5D">
              <w:rPr>
                <w:lang w:eastAsia="et-EE"/>
              </w:rPr>
              <w:t>aotleja</w:t>
            </w:r>
            <w:r w:rsidR="0092248D" w:rsidRPr="00F21B5D">
              <w:rPr>
                <w:lang w:eastAsia="et-EE"/>
              </w:rPr>
              <w:t xml:space="preserve"> kavandatav</w:t>
            </w:r>
            <w:r w:rsidR="00A63C69" w:rsidRPr="00F21B5D">
              <w:rPr>
                <w:lang w:eastAsia="et-EE"/>
              </w:rPr>
              <w:t xml:space="preserve"> investeeringuobjekt on seotud puuetega inimeste ho</w:t>
            </w:r>
            <w:r w:rsidR="005D59E2" w:rsidRPr="00F21B5D">
              <w:rPr>
                <w:lang w:eastAsia="et-EE"/>
              </w:rPr>
              <w:t>olekandeasutuste tegevusega (EM</w:t>
            </w:r>
            <w:r w:rsidR="00A63C69" w:rsidRPr="00F21B5D">
              <w:rPr>
                <w:lang w:eastAsia="et-EE"/>
              </w:rPr>
              <w:t>T</w:t>
            </w:r>
            <w:r w:rsidR="005D59E2" w:rsidRPr="00F21B5D">
              <w:rPr>
                <w:lang w:eastAsia="et-EE"/>
              </w:rPr>
              <w:t>A</w:t>
            </w:r>
            <w:r w:rsidR="00A63C69" w:rsidRPr="00F21B5D">
              <w:rPr>
                <w:lang w:eastAsia="et-EE"/>
              </w:rPr>
              <w:t>K 2008</w:t>
            </w:r>
            <w:r w:rsidR="005C11EC" w:rsidRPr="00F21B5D">
              <w:rPr>
                <w:lang w:eastAsia="et-EE"/>
              </w:rPr>
              <w:t>, jagu</w:t>
            </w:r>
            <w:r w:rsidR="00A63C69" w:rsidRPr="00F21B5D">
              <w:rPr>
                <w:lang w:eastAsia="et-EE"/>
              </w:rPr>
              <w:t xml:space="preserve"> Q</w:t>
            </w:r>
            <w:r w:rsidR="005C11EC" w:rsidRPr="00F21B5D">
              <w:rPr>
                <w:lang w:eastAsia="et-EE"/>
              </w:rPr>
              <w:t>,</w:t>
            </w:r>
            <w:r w:rsidR="00A63C69" w:rsidRPr="00F21B5D">
              <w:rPr>
                <w:lang w:eastAsia="et-EE"/>
              </w:rPr>
              <w:t xml:space="preserve"> alajagu 87) või puuetega inimeste sot</w:t>
            </w:r>
            <w:r w:rsidR="00AC1521" w:rsidRPr="00F21B5D">
              <w:rPr>
                <w:lang w:eastAsia="et-EE"/>
              </w:rPr>
              <w:t>si</w:t>
            </w:r>
            <w:r w:rsidR="00A63C69" w:rsidRPr="00F21B5D">
              <w:rPr>
                <w:lang w:eastAsia="et-EE"/>
              </w:rPr>
              <w:t>aalhoolekandega</w:t>
            </w:r>
            <w:r w:rsidR="005E6C51" w:rsidRPr="00F21B5D">
              <w:rPr>
                <w:lang w:eastAsia="et-EE"/>
              </w:rPr>
              <w:t xml:space="preserve"> majutuseta</w:t>
            </w:r>
            <w:r w:rsidR="00A63C69" w:rsidRPr="00F21B5D">
              <w:rPr>
                <w:lang w:eastAsia="et-EE"/>
              </w:rPr>
              <w:t xml:space="preserve"> (EMTAK 2008</w:t>
            </w:r>
            <w:r w:rsidR="005C11EC" w:rsidRPr="00F21B5D">
              <w:rPr>
                <w:lang w:eastAsia="et-EE"/>
              </w:rPr>
              <w:t>,</w:t>
            </w:r>
            <w:r w:rsidR="00A63C69" w:rsidRPr="00F21B5D">
              <w:rPr>
                <w:lang w:eastAsia="et-EE"/>
              </w:rPr>
              <w:t xml:space="preserve"> </w:t>
            </w:r>
            <w:r w:rsidR="00AC1521" w:rsidRPr="00F21B5D">
              <w:rPr>
                <w:lang w:eastAsia="et-EE"/>
              </w:rPr>
              <w:t>ja</w:t>
            </w:r>
            <w:r w:rsidR="005C11EC" w:rsidRPr="00F21B5D">
              <w:rPr>
                <w:lang w:eastAsia="et-EE"/>
              </w:rPr>
              <w:t>gu</w:t>
            </w:r>
            <w:r w:rsidR="00AC1521" w:rsidRPr="00F21B5D">
              <w:rPr>
                <w:lang w:eastAsia="et-EE"/>
              </w:rPr>
              <w:t xml:space="preserve"> </w:t>
            </w:r>
            <w:r w:rsidR="00A63C69" w:rsidRPr="00F21B5D">
              <w:rPr>
                <w:lang w:eastAsia="et-EE"/>
              </w:rPr>
              <w:t>Q</w:t>
            </w:r>
            <w:r w:rsidR="005C11EC" w:rsidRPr="00F21B5D">
              <w:rPr>
                <w:lang w:eastAsia="et-EE"/>
              </w:rPr>
              <w:t>,</w:t>
            </w:r>
            <w:r w:rsidR="00A63C69" w:rsidRPr="00F21B5D">
              <w:rPr>
                <w:lang w:eastAsia="et-EE"/>
              </w:rPr>
              <w:t xml:space="preserve"> alajagu 88)</w:t>
            </w:r>
          </w:p>
        </w:tc>
        <w:tc>
          <w:tcPr>
            <w:tcW w:w="992" w:type="dxa"/>
            <w:shd w:val="clear" w:color="auto" w:fill="auto"/>
            <w:vAlign w:val="center"/>
          </w:tcPr>
          <w:p w14:paraId="51B814BF" w14:textId="77777777" w:rsidR="00A63C69" w:rsidRPr="003D4458" w:rsidRDefault="00A47D2F" w:rsidP="00162496">
            <w:pPr>
              <w:autoSpaceDE/>
              <w:autoSpaceDN/>
              <w:jc w:val="center"/>
              <w:rPr>
                <w:b/>
                <w:bCs/>
                <w:lang w:eastAsia="et-EE"/>
              </w:rPr>
            </w:pPr>
            <w:r w:rsidRPr="003D4458">
              <w:rPr>
                <w:b/>
                <w:bCs/>
                <w:lang w:eastAsia="et-EE"/>
              </w:rPr>
              <w:t>2</w:t>
            </w:r>
          </w:p>
        </w:tc>
      </w:tr>
      <w:tr w:rsidR="0004008D" w:rsidRPr="00F1775E" w14:paraId="10678785" w14:textId="77777777" w:rsidTr="008F05F8">
        <w:trPr>
          <w:trHeight w:val="554"/>
        </w:trPr>
        <w:tc>
          <w:tcPr>
            <w:tcW w:w="851" w:type="dxa"/>
            <w:vMerge w:val="restart"/>
            <w:shd w:val="clear" w:color="auto" w:fill="auto"/>
            <w:vAlign w:val="center"/>
          </w:tcPr>
          <w:p w14:paraId="1C121B22" w14:textId="77777777" w:rsidR="00620B1A" w:rsidRPr="00EC7A18" w:rsidRDefault="00620B1A" w:rsidP="005F75A4">
            <w:pPr>
              <w:autoSpaceDE/>
              <w:autoSpaceDN/>
              <w:jc w:val="center"/>
              <w:rPr>
                <w:b/>
                <w:bCs/>
                <w:sz w:val="48"/>
                <w:szCs w:val="48"/>
                <w:lang w:eastAsia="et-EE"/>
              </w:rPr>
            </w:pPr>
            <w:r w:rsidRPr="00EC7A18">
              <w:rPr>
                <w:b/>
                <w:bCs/>
                <w:sz w:val="48"/>
                <w:szCs w:val="48"/>
                <w:lang w:eastAsia="et-EE"/>
              </w:rPr>
              <w:t>6</w:t>
            </w:r>
          </w:p>
        </w:tc>
        <w:tc>
          <w:tcPr>
            <w:tcW w:w="709" w:type="dxa"/>
            <w:shd w:val="clear" w:color="auto" w:fill="auto"/>
            <w:noWrap/>
            <w:vAlign w:val="center"/>
          </w:tcPr>
          <w:p w14:paraId="7DA7B86C" w14:textId="77777777" w:rsidR="00620B1A" w:rsidRPr="003D4458" w:rsidRDefault="00620B1A" w:rsidP="00A63C69">
            <w:pPr>
              <w:autoSpaceDE/>
              <w:autoSpaceDN/>
              <w:jc w:val="center"/>
              <w:rPr>
                <w:b/>
                <w:bCs/>
                <w:lang w:eastAsia="et-EE"/>
              </w:rPr>
            </w:pPr>
            <w:r w:rsidRPr="003D4458">
              <w:rPr>
                <w:b/>
                <w:bCs/>
                <w:lang w:eastAsia="et-EE"/>
              </w:rPr>
              <w:t>15</w:t>
            </w:r>
          </w:p>
        </w:tc>
        <w:tc>
          <w:tcPr>
            <w:tcW w:w="1418" w:type="dxa"/>
            <w:vMerge w:val="restart"/>
            <w:tcBorders>
              <w:top w:val="nil"/>
              <w:bottom w:val="nil"/>
            </w:tcBorders>
            <w:shd w:val="clear" w:color="auto" w:fill="FDE9D9" w:themeFill="accent6" w:themeFillTint="33"/>
            <w:vAlign w:val="center"/>
          </w:tcPr>
          <w:p w14:paraId="265AF59B" w14:textId="77777777" w:rsidR="00620B1A" w:rsidRPr="00A733B7" w:rsidRDefault="00620B1A" w:rsidP="00162496">
            <w:pPr>
              <w:autoSpaceDE/>
              <w:autoSpaceDN/>
              <w:rPr>
                <w:bCs/>
                <w:lang w:eastAsia="et-EE"/>
              </w:rPr>
            </w:pPr>
          </w:p>
        </w:tc>
        <w:tc>
          <w:tcPr>
            <w:tcW w:w="2835" w:type="dxa"/>
            <w:vMerge w:val="restart"/>
            <w:shd w:val="clear" w:color="auto" w:fill="auto"/>
            <w:vAlign w:val="center"/>
          </w:tcPr>
          <w:p w14:paraId="73027330" w14:textId="77777777" w:rsidR="001479C5" w:rsidRDefault="001479C5" w:rsidP="007F4542">
            <w:pPr>
              <w:autoSpaceDE/>
              <w:autoSpaceDN/>
              <w:rPr>
                <w:lang w:eastAsia="et-EE"/>
              </w:rPr>
            </w:pPr>
          </w:p>
          <w:p w14:paraId="68AA5252" w14:textId="77777777" w:rsidR="001479C5" w:rsidRDefault="001479C5" w:rsidP="007F4542">
            <w:pPr>
              <w:autoSpaceDE/>
              <w:autoSpaceDN/>
              <w:rPr>
                <w:lang w:eastAsia="et-EE"/>
              </w:rPr>
            </w:pPr>
          </w:p>
          <w:p w14:paraId="05D37350" w14:textId="77777777" w:rsidR="001479C5" w:rsidRDefault="001479C5" w:rsidP="007F4542">
            <w:pPr>
              <w:autoSpaceDE/>
              <w:autoSpaceDN/>
              <w:rPr>
                <w:lang w:eastAsia="et-EE"/>
              </w:rPr>
            </w:pPr>
          </w:p>
          <w:p w14:paraId="0A8D0438" w14:textId="61B8B3B8" w:rsidR="00620B1A" w:rsidRPr="001B1AA2" w:rsidRDefault="00620B1A" w:rsidP="007F4542">
            <w:pPr>
              <w:autoSpaceDE/>
              <w:autoSpaceDN/>
              <w:rPr>
                <w:lang w:eastAsia="et-EE"/>
              </w:rPr>
            </w:pPr>
            <w:r w:rsidRPr="001B1AA2">
              <w:rPr>
                <w:lang w:eastAsia="et-EE"/>
              </w:rPr>
              <w:t xml:space="preserve">Põllumajandustootja või </w:t>
            </w:r>
            <w:r w:rsidR="00282826" w:rsidRPr="001B1AA2">
              <w:rPr>
                <w:lang w:eastAsia="et-EE"/>
              </w:rPr>
              <w:t xml:space="preserve">avaliku sektori </w:t>
            </w:r>
            <w:r w:rsidRPr="001B1AA2">
              <w:rPr>
                <w:lang w:eastAsia="et-EE"/>
              </w:rPr>
              <w:t>põllumajandusettevõtja, kes tegeleb ohustatud tõugu loomade kasvatamisega</w:t>
            </w:r>
          </w:p>
        </w:tc>
        <w:tc>
          <w:tcPr>
            <w:tcW w:w="7371" w:type="dxa"/>
            <w:shd w:val="clear" w:color="auto" w:fill="auto"/>
            <w:vAlign w:val="center"/>
          </w:tcPr>
          <w:p w14:paraId="5EE781B4" w14:textId="40C8A43B" w:rsidR="00620B1A" w:rsidRPr="00F21B5D" w:rsidRDefault="00620B1A" w:rsidP="00F35B8D">
            <w:pPr>
              <w:autoSpaceDE/>
              <w:autoSpaceDN/>
              <w:jc w:val="both"/>
              <w:rPr>
                <w:lang w:eastAsia="et-EE"/>
              </w:rPr>
            </w:pPr>
            <w:r w:rsidRPr="00F21B5D">
              <w:rPr>
                <w:lang w:eastAsia="et-EE"/>
              </w:rPr>
              <w:lastRenderedPageBreak/>
              <w:t xml:space="preserve">Taotleja on põllumajandusloomade registri andmetel taotluse esitamise tähtpäevale vahetult eelnenud kuu viimase päeva seisuga vähemalt kuue </w:t>
            </w:r>
            <w:r w:rsidRPr="00F21B5D">
              <w:rPr>
                <w:lang w:eastAsia="et-EE"/>
              </w:rPr>
              <w:lastRenderedPageBreak/>
              <w:t xml:space="preserve">eesti hobuse, eesti raskeveohobuse või tori hobuse omanik või </w:t>
            </w:r>
            <w:r w:rsidR="00E477E8" w:rsidRPr="00F21B5D">
              <w:rPr>
                <w:lang w:eastAsia="et-EE"/>
              </w:rPr>
              <w:t xml:space="preserve">vähemalt kuue </w:t>
            </w:r>
            <w:r w:rsidRPr="00F21B5D">
              <w:rPr>
                <w:lang w:eastAsia="et-EE"/>
              </w:rPr>
              <w:t>eesti maatõugu veise pidaja või on taotlejal kohustus ohustatud tõugu looma pidamise toetuse alusel</w:t>
            </w:r>
          </w:p>
        </w:tc>
        <w:tc>
          <w:tcPr>
            <w:tcW w:w="992" w:type="dxa"/>
            <w:shd w:val="clear" w:color="auto" w:fill="auto"/>
            <w:vAlign w:val="center"/>
          </w:tcPr>
          <w:p w14:paraId="7267BA6B" w14:textId="7031CEB7" w:rsidR="00620B1A" w:rsidRPr="003D4458" w:rsidRDefault="00620B1A" w:rsidP="00162496">
            <w:pPr>
              <w:autoSpaceDE/>
              <w:autoSpaceDN/>
              <w:jc w:val="center"/>
              <w:rPr>
                <w:b/>
                <w:bCs/>
                <w:lang w:eastAsia="et-EE"/>
              </w:rPr>
            </w:pPr>
            <w:r w:rsidRPr="003D4458">
              <w:rPr>
                <w:b/>
                <w:bCs/>
                <w:lang w:eastAsia="et-EE"/>
              </w:rPr>
              <w:lastRenderedPageBreak/>
              <w:t>1</w:t>
            </w:r>
          </w:p>
        </w:tc>
      </w:tr>
      <w:tr w:rsidR="0004008D" w:rsidRPr="00F1775E" w14:paraId="55A6F168" w14:textId="77777777" w:rsidTr="008F05F8">
        <w:trPr>
          <w:trHeight w:val="981"/>
        </w:trPr>
        <w:tc>
          <w:tcPr>
            <w:tcW w:w="851" w:type="dxa"/>
            <w:vMerge/>
            <w:shd w:val="clear" w:color="auto" w:fill="auto"/>
            <w:vAlign w:val="center"/>
          </w:tcPr>
          <w:p w14:paraId="10AC0C1F" w14:textId="77777777" w:rsidR="00620B1A" w:rsidRPr="00AA6F7F" w:rsidRDefault="00620B1A" w:rsidP="005F75A4">
            <w:pPr>
              <w:autoSpaceDE/>
              <w:autoSpaceDN/>
              <w:jc w:val="center"/>
              <w:rPr>
                <w:b/>
                <w:bCs/>
                <w:sz w:val="48"/>
                <w:szCs w:val="48"/>
                <w:lang w:eastAsia="et-EE"/>
              </w:rPr>
            </w:pPr>
          </w:p>
        </w:tc>
        <w:tc>
          <w:tcPr>
            <w:tcW w:w="709" w:type="dxa"/>
            <w:shd w:val="clear" w:color="auto" w:fill="auto"/>
            <w:noWrap/>
            <w:vAlign w:val="center"/>
          </w:tcPr>
          <w:p w14:paraId="3359AD3F" w14:textId="13BD018D" w:rsidR="00620B1A" w:rsidRPr="008D6352" w:rsidRDefault="00620B1A" w:rsidP="00A63C69">
            <w:pPr>
              <w:autoSpaceDE/>
              <w:autoSpaceDN/>
              <w:jc w:val="center"/>
              <w:rPr>
                <w:b/>
                <w:bCs/>
                <w:lang w:eastAsia="et-EE"/>
              </w:rPr>
            </w:pPr>
            <w:r w:rsidRPr="008D6352">
              <w:rPr>
                <w:b/>
                <w:bCs/>
                <w:lang w:eastAsia="et-EE"/>
              </w:rPr>
              <w:t>16</w:t>
            </w:r>
          </w:p>
        </w:tc>
        <w:tc>
          <w:tcPr>
            <w:tcW w:w="1418" w:type="dxa"/>
            <w:vMerge/>
            <w:tcBorders>
              <w:top w:val="nil"/>
              <w:bottom w:val="nil"/>
            </w:tcBorders>
            <w:shd w:val="clear" w:color="auto" w:fill="FDE9D9" w:themeFill="accent6" w:themeFillTint="33"/>
            <w:vAlign w:val="center"/>
          </w:tcPr>
          <w:p w14:paraId="12581545" w14:textId="77777777" w:rsidR="00620B1A" w:rsidRPr="00A733B7" w:rsidRDefault="00620B1A" w:rsidP="00162496">
            <w:pPr>
              <w:autoSpaceDE/>
              <w:autoSpaceDN/>
              <w:rPr>
                <w:bCs/>
                <w:lang w:eastAsia="et-EE"/>
              </w:rPr>
            </w:pPr>
          </w:p>
        </w:tc>
        <w:tc>
          <w:tcPr>
            <w:tcW w:w="2835" w:type="dxa"/>
            <w:vMerge/>
            <w:shd w:val="clear" w:color="auto" w:fill="auto"/>
            <w:vAlign w:val="center"/>
          </w:tcPr>
          <w:p w14:paraId="5834A133" w14:textId="77777777" w:rsidR="00620B1A" w:rsidRPr="00A733B7" w:rsidRDefault="00620B1A" w:rsidP="00B11902">
            <w:pPr>
              <w:autoSpaceDE/>
              <w:autoSpaceDN/>
              <w:rPr>
                <w:lang w:eastAsia="et-EE"/>
              </w:rPr>
            </w:pPr>
          </w:p>
        </w:tc>
        <w:tc>
          <w:tcPr>
            <w:tcW w:w="7371" w:type="dxa"/>
            <w:shd w:val="clear" w:color="auto" w:fill="auto"/>
            <w:vAlign w:val="center"/>
          </w:tcPr>
          <w:p w14:paraId="76191703" w14:textId="20D5252F" w:rsidR="00620B1A" w:rsidRPr="00F21B5D" w:rsidRDefault="00620B1A" w:rsidP="00F35B8D">
            <w:pPr>
              <w:autoSpaceDE/>
              <w:autoSpaceDN/>
              <w:jc w:val="both"/>
              <w:rPr>
                <w:vertAlign w:val="superscript"/>
                <w:lang w:eastAsia="et-EE"/>
              </w:rPr>
            </w:pPr>
            <w:r w:rsidRPr="00F21B5D">
              <w:rPr>
                <w:lang w:eastAsia="et-EE"/>
              </w:rPr>
              <w:t xml:space="preserve">Taotleja on põllumajandusloomade registri andmetel taotluse esitamise tähtpäevale vahetult eelnenud kuu viimase päeva seisuga vähemalt 12 eesti hobuse, eesti raskeveohobuse või tori hobuse omanik või </w:t>
            </w:r>
            <w:r w:rsidR="00E477E8" w:rsidRPr="00F21B5D">
              <w:rPr>
                <w:lang w:eastAsia="et-EE"/>
              </w:rPr>
              <w:t xml:space="preserve">vähemalt 12 </w:t>
            </w:r>
            <w:r w:rsidRPr="00F21B5D">
              <w:rPr>
                <w:lang w:eastAsia="et-EE"/>
              </w:rPr>
              <w:t>eesti maatõugu veise pidaja</w:t>
            </w:r>
          </w:p>
        </w:tc>
        <w:tc>
          <w:tcPr>
            <w:tcW w:w="992" w:type="dxa"/>
            <w:shd w:val="clear" w:color="auto" w:fill="auto"/>
            <w:vAlign w:val="center"/>
          </w:tcPr>
          <w:p w14:paraId="3B94C71A" w14:textId="30F72DE9" w:rsidR="00620B1A" w:rsidRPr="00A31E5E" w:rsidRDefault="00620B1A" w:rsidP="00162496">
            <w:pPr>
              <w:autoSpaceDE/>
              <w:autoSpaceDN/>
              <w:jc w:val="center"/>
              <w:rPr>
                <w:b/>
                <w:bCs/>
                <w:lang w:eastAsia="et-EE"/>
              </w:rPr>
            </w:pPr>
            <w:r w:rsidRPr="00A31E5E">
              <w:rPr>
                <w:b/>
                <w:bCs/>
                <w:lang w:eastAsia="et-EE"/>
              </w:rPr>
              <w:t>4</w:t>
            </w:r>
          </w:p>
        </w:tc>
      </w:tr>
      <w:tr w:rsidR="0004008D" w:rsidRPr="00F1775E" w14:paraId="670A5DCA" w14:textId="77777777" w:rsidTr="008F05F8">
        <w:trPr>
          <w:trHeight w:val="413"/>
        </w:trPr>
        <w:tc>
          <w:tcPr>
            <w:tcW w:w="851" w:type="dxa"/>
            <w:vMerge/>
            <w:shd w:val="clear" w:color="auto" w:fill="auto"/>
            <w:vAlign w:val="center"/>
          </w:tcPr>
          <w:p w14:paraId="65E48939" w14:textId="77777777" w:rsidR="00620B1A" w:rsidRPr="00AA6F7F" w:rsidRDefault="00620B1A" w:rsidP="005F75A4">
            <w:pPr>
              <w:autoSpaceDE/>
              <w:autoSpaceDN/>
              <w:jc w:val="center"/>
              <w:rPr>
                <w:b/>
                <w:bCs/>
                <w:sz w:val="48"/>
                <w:szCs w:val="48"/>
                <w:lang w:eastAsia="et-EE"/>
              </w:rPr>
            </w:pPr>
          </w:p>
        </w:tc>
        <w:tc>
          <w:tcPr>
            <w:tcW w:w="709" w:type="dxa"/>
            <w:tcBorders>
              <w:bottom w:val="single" w:sz="4" w:space="0" w:color="7F7F7F" w:themeColor="text1" w:themeTint="80"/>
            </w:tcBorders>
            <w:shd w:val="clear" w:color="auto" w:fill="auto"/>
            <w:noWrap/>
            <w:vAlign w:val="center"/>
          </w:tcPr>
          <w:p w14:paraId="0B713E3B" w14:textId="54F138AA" w:rsidR="00620B1A" w:rsidRPr="00A31E5E" w:rsidRDefault="00620B1A" w:rsidP="00A63C69">
            <w:pPr>
              <w:autoSpaceDE/>
              <w:autoSpaceDN/>
              <w:jc w:val="center"/>
              <w:rPr>
                <w:b/>
                <w:bCs/>
                <w:lang w:eastAsia="et-EE"/>
              </w:rPr>
            </w:pPr>
            <w:r w:rsidRPr="00A31E5E">
              <w:rPr>
                <w:b/>
                <w:bCs/>
                <w:lang w:eastAsia="et-EE"/>
              </w:rPr>
              <w:t>17</w:t>
            </w:r>
          </w:p>
        </w:tc>
        <w:tc>
          <w:tcPr>
            <w:tcW w:w="1418" w:type="dxa"/>
            <w:vMerge/>
            <w:tcBorders>
              <w:top w:val="nil"/>
              <w:bottom w:val="single" w:sz="4" w:space="0" w:color="7F7F7F" w:themeColor="text1" w:themeTint="80"/>
            </w:tcBorders>
            <w:shd w:val="clear" w:color="auto" w:fill="FDE9D9" w:themeFill="accent6" w:themeFillTint="33"/>
            <w:vAlign w:val="center"/>
          </w:tcPr>
          <w:p w14:paraId="126D0DD7" w14:textId="77777777" w:rsidR="00620B1A" w:rsidRPr="00A733B7" w:rsidRDefault="00620B1A" w:rsidP="00162496">
            <w:pPr>
              <w:autoSpaceDE/>
              <w:autoSpaceDN/>
              <w:rPr>
                <w:bCs/>
                <w:lang w:eastAsia="et-EE"/>
              </w:rPr>
            </w:pPr>
          </w:p>
        </w:tc>
        <w:tc>
          <w:tcPr>
            <w:tcW w:w="2835" w:type="dxa"/>
            <w:vMerge/>
            <w:tcBorders>
              <w:bottom w:val="single" w:sz="4" w:space="0" w:color="7F7F7F" w:themeColor="text1" w:themeTint="80"/>
            </w:tcBorders>
            <w:shd w:val="clear" w:color="auto" w:fill="auto"/>
            <w:vAlign w:val="center"/>
          </w:tcPr>
          <w:p w14:paraId="7CB8B19E" w14:textId="77777777" w:rsidR="00620B1A" w:rsidRPr="00A733B7" w:rsidRDefault="00620B1A" w:rsidP="00B11902">
            <w:pPr>
              <w:autoSpaceDE/>
              <w:autoSpaceDN/>
              <w:rPr>
                <w:lang w:eastAsia="et-EE"/>
              </w:rPr>
            </w:pPr>
          </w:p>
        </w:tc>
        <w:tc>
          <w:tcPr>
            <w:tcW w:w="7371" w:type="dxa"/>
            <w:tcBorders>
              <w:bottom w:val="single" w:sz="4" w:space="0" w:color="7F7F7F" w:themeColor="text1" w:themeTint="80"/>
            </w:tcBorders>
            <w:shd w:val="clear" w:color="auto" w:fill="auto"/>
            <w:vAlign w:val="center"/>
          </w:tcPr>
          <w:p w14:paraId="5482E34C" w14:textId="6E520F8D" w:rsidR="00620B1A" w:rsidRPr="00F21B5D" w:rsidRDefault="00620B1A" w:rsidP="00F35B8D">
            <w:pPr>
              <w:autoSpaceDE/>
              <w:autoSpaceDN/>
              <w:jc w:val="both"/>
              <w:rPr>
                <w:vertAlign w:val="superscript"/>
                <w:lang w:eastAsia="et-EE"/>
              </w:rPr>
            </w:pPr>
            <w:r w:rsidRPr="00F21B5D">
              <w:rPr>
                <w:lang w:eastAsia="et-EE"/>
              </w:rPr>
              <w:t xml:space="preserve">Taotleja on põllumajandusloomade registri andmetel taotluse esitamise tähtpäevale vahetult eelnenud kuu viimase päeva seisuga vähemalt 18 eesti hobuse, eesti raskeveohobuse või tori hobuse omanik või </w:t>
            </w:r>
            <w:r w:rsidR="00E477E8" w:rsidRPr="00F21B5D">
              <w:rPr>
                <w:lang w:eastAsia="et-EE"/>
              </w:rPr>
              <w:t xml:space="preserve">vähemalt 18 </w:t>
            </w:r>
            <w:r w:rsidRPr="00F21B5D">
              <w:rPr>
                <w:lang w:eastAsia="et-EE"/>
              </w:rPr>
              <w:t>eesti maatõugu veise pidaja</w:t>
            </w:r>
          </w:p>
        </w:tc>
        <w:tc>
          <w:tcPr>
            <w:tcW w:w="992" w:type="dxa"/>
            <w:tcBorders>
              <w:bottom w:val="single" w:sz="4" w:space="0" w:color="7F7F7F" w:themeColor="text1" w:themeTint="80"/>
            </w:tcBorders>
            <w:shd w:val="clear" w:color="auto" w:fill="auto"/>
            <w:vAlign w:val="center"/>
          </w:tcPr>
          <w:p w14:paraId="3C56BFD7" w14:textId="62DDB038" w:rsidR="00620B1A" w:rsidRPr="00A31E5E" w:rsidRDefault="00F54FF2" w:rsidP="00162496">
            <w:pPr>
              <w:autoSpaceDE/>
              <w:autoSpaceDN/>
              <w:jc w:val="center"/>
              <w:rPr>
                <w:b/>
                <w:bCs/>
                <w:lang w:eastAsia="et-EE"/>
              </w:rPr>
            </w:pPr>
            <w:r w:rsidRPr="00A31E5E">
              <w:rPr>
                <w:b/>
                <w:bCs/>
                <w:lang w:eastAsia="et-EE"/>
              </w:rPr>
              <w:t>8</w:t>
            </w:r>
          </w:p>
        </w:tc>
      </w:tr>
      <w:tr w:rsidR="0004008D" w:rsidRPr="00F1775E" w14:paraId="019EC3E9" w14:textId="77777777" w:rsidTr="008F05F8">
        <w:trPr>
          <w:trHeight w:val="413"/>
        </w:trPr>
        <w:tc>
          <w:tcPr>
            <w:tcW w:w="851" w:type="dxa"/>
            <w:vMerge/>
            <w:shd w:val="clear" w:color="auto" w:fill="auto"/>
            <w:vAlign w:val="center"/>
          </w:tcPr>
          <w:p w14:paraId="7C4FEA11" w14:textId="77777777" w:rsidR="00620B1A" w:rsidRPr="00AA6F7F" w:rsidRDefault="00620B1A" w:rsidP="005F75A4">
            <w:pPr>
              <w:autoSpaceDE/>
              <w:autoSpaceDN/>
              <w:jc w:val="center"/>
              <w:rPr>
                <w:b/>
                <w:bCs/>
                <w:sz w:val="48"/>
                <w:szCs w:val="48"/>
                <w:lang w:eastAsia="et-EE"/>
              </w:rPr>
            </w:pPr>
          </w:p>
        </w:tc>
        <w:tc>
          <w:tcPr>
            <w:tcW w:w="709" w:type="dxa"/>
            <w:tcBorders>
              <w:top w:val="single" w:sz="4" w:space="0" w:color="7F7F7F" w:themeColor="text1" w:themeTint="80"/>
            </w:tcBorders>
            <w:shd w:val="clear" w:color="auto" w:fill="auto"/>
            <w:noWrap/>
            <w:vAlign w:val="center"/>
          </w:tcPr>
          <w:p w14:paraId="20D37B33" w14:textId="7AC607C1" w:rsidR="00620B1A" w:rsidRPr="00A31E5E" w:rsidRDefault="00620B1A" w:rsidP="00A63C69">
            <w:pPr>
              <w:autoSpaceDE/>
              <w:autoSpaceDN/>
              <w:jc w:val="center"/>
              <w:rPr>
                <w:b/>
                <w:bCs/>
                <w:lang w:eastAsia="et-EE"/>
              </w:rPr>
            </w:pPr>
            <w:r w:rsidRPr="00A31E5E">
              <w:rPr>
                <w:b/>
                <w:bCs/>
                <w:lang w:eastAsia="et-EE"/>
              </w:rPr>
              <w:t>18</w:t>
            </w:r>
          </w:p>
        </w:tc>
        <w:tc>
          <w:tcPr>
            <w:tcW w:w="1418" w:type="dxa"/>
            <w:vMerge/>
            <w:tcBorders>
              <w:top w:val="single" w:sz="4" w:space="0" w:color="7F7F7F" w:themeColor="text1" w:themeTint="80"/>
              <w:bottom w:val="nil"/>
            </w:tcBorders>
            <w:shd w:val="clear" w:color="auto" w:fill="FDE9D9" w:themeFill="accent6" w:themeFillTint="33"/>
            <w:vAlign w:val="center"/>
          </w:tcPr>
          <w:p w14:paraId="6C2A1217" w14:textId="77777777" w:rsidR="00620B1A" w:rsidRPr="00A733B7" w:rsidRDefault="00620B1A" w:rsidP="00162496">
            <w:pPr>
              <w:autoSpaceDE/>
              <w:autoSpaceDN/>
              <w:rPr>
                <w:bCs/>
                <w:lang w:eastAsia="et-EE"/>
              </w:rPr>
            </w:pPr>
          </w:p>
        </w:tc>
        <w:tc>
          <w:tcPr>
            <w:tcW w:w="2835" w:type="dxa"/>
            <w:vMerge/>
            <w:tcBorders>
              <w:top w:val="single" w:sz="4" w:space="0" w:color="7F7F7F" w:themeColor="text1" w:themeTint="80"/>
            </w:tcBorders>
            <w:shd w:val="clear" w:color="auto" w:fill="auto"/>
            <w:vAlign w:val="center"/>
          </w:tcPr>
          <w:p w14:paraId="2504EFE6" w14:textId="77777777" w:rsidR="00620B1A" w:rsidRPr="00A733B7" w:rsidRDefault="00620B1A" w:rsidP="00B11902">
            <w:pPr>
              <w:autoSpaceDE/>
              <w:autoSpaceDN/>
              <w:rPr>
                <w:lang w:eastAsia="et-EE"/>
              </w:rPr>
            </w:pPr>
          </w:p>
        </w:tc>
        <w:tc>
          <w:tcPr>
            <w:tcW w:w="7371" w:type="dxa"/>
            <w:tcBorders>
              <w:top w:val="single" w:sz="4" w:space="0" w:color="7F7F7F" w:themeColor="text1" w:themeTint="80"/>
            </w:tcBorders>
            <w:shd w:val="clear" w:color="auto" w:fill="auto"/>
            <w:vAlign w:val="center"/>
          </w:tcPr>
          <w:p w14:paraId="497401A0" w14:textId="6C339D34" w:rsidR="00620B1A" w:rsidRPr="00F21B5D" w:rsidRDefault="00620B1A" w:rsidP="00F35B8D">
            <w:pPr>
              <w:autoSpaceDE/>
              <w:autoSpaceDN/>
              <w:jc w:val="both"/>
              <w:rPr>
                <w:vertAlign w:val="superscript"/>
                <w:lang w:eastAsia="et-EE"/>
              </w:rPr>
            </w:pPr>
            <w:r w:rsidRPr="00F21B5D">
              <w:rPr>
                <w:lang w:eastAsia="et-EE"/>
              </w:rPr>
              <w:t xml:space="preserve">Taotleja on põllumajandusloomade registri andmetel taotluse esitamise tähtpäevale vahetult eelnenud kuu viimase päeva seisuga vähemalt 25 eesti hobuse, eesti raskeveohobuse või tori hobuse omanik või </w:t>
            </w:r>
            <w:r w:rsidR="00E332ED" w:rsidRPr="00F21B5D">
              <w:rPr>
                <w:lang w:eastAsia="et-EE"/>
              </w:rPr>
              <w:t xml:space="preserve">vähemalt 25 </w:t>
            </w:r>
            <w:r w:rsidRPr="00F21B5D">
              <w:rPr>
                <w:lang w:eastAsia="et-EE"/>
              </w:rPr>
              <w:t>eesti maatõugu veise pidaja</w:t>
            </w:r>
          </w:p>
        </w:tc>
        <w:tc>
          <w:tcPr>
            <w:tcW w:w="992" w:type="dxa"/>
            <w:tcBorders>
              <w:top w:val="single" w:sz="4" w:space="0" w:color="7F7F7F" w:themeColor="text1" w:themeTint="80"/>
            </w:tcBorders>
            <w:shd w:val="clear" w:color="auto" w:fill="auto"/>
            <w:vAlign w:val="center"/>
          </w:tcPr>
          <w:p w14:paraId="026F4460" w14:textId="38963DDA" w:rsidR="00620B1A" w:rsidRPr="00A31E5E" w:rsidRDefault="00620B1A" w:rsidP="00F54FF2">
            <w:pPr>
              <w:autoSpaceDE/>
              <w:autoSpaceDN/>
              <w:jc w:val="center"/>
              <w:rPr>
                <w:b/>
                <w:bCs/>
                <w:lang w:eastAsia="et-EE"/>
              </w:rPr>
            </w:pPr>
            <w:r w:rsidRPr="00A31E5E">
              <w:rPr>
                <w:b/>
                <w:bCs/>
                <w:lang w:eastAsia="et-EE"/>
              </w:rPr>
              <w:t>1</w:t>
            </w:r>
            <w:r w:rsidR="00F54FF2" w:rsidRPr="00A31E5E">
              <w:rPr>
                <w:b/>
                <w:bCs/>
                <w:lang w:eastAsia="et-EE"/>
              </w:rPr>
              <w:t>2</w:t>
            </w:r>
          </w:p>
        </w:tc>
      </w:tr>
      <w:tr w:rsidR="0004008D" w:rsidRPr="00F1775E" w14:paraId="3C3AA515" w14:textId="77777777" w:rsidTr="008F05F8">
        <w:trPr>
          <w:trHeight w:val="981"/>
        </w:trPr>
        <w:tc>
          <w:tcPr>
            <w:tcW w:w="851" w:type="dxa"/>
            <w:tcBorders>
              <w:bottom w:val="single" w:sz="4" w:space="0" w:color="7F7F7F" w:themeColor="text1" w:themeTint="80"/>
            </w:tcBorders>
            <w:shd w:val="clear" w:color="auto" w:fill="auto"/>
            <w:vAlign w:val="center"/>
          </w:tcPr>
          <w:p w14:paraId="6EC6BB7A" w14:textId="77777777" w:rsidR="0073400B" w:rsidRPr="00EC7A18" w:rsidRDefault="0073400B" w:rsidP="0073400B">
            <w:pPr>
              <w:jc w:val="center"/>
              <w:rPr>
                <w:b/>
                <w:bCs/>
                <w:sz w:val="48"/>
                <w:szCs w:val="48"/>
                <w:lang w:eastAsia="et-EE"/>
              </w:rPr>
            </w:pPr>
            <w:r w:rsidRPr="00EC7A18">
              <w:rPr>
                <w:b/>
                <w:bCs/>
                <w:sz w:val="48"/>
                <w:szCs w:val="48"/>
                <w:lang w:eastAsia="et-EE"/>
              </w:rPr>
              <w:t>7</w:t>
            </w:r>
          </w:p>
        </w:tc>
        <w:tc>
          <w:tcPr>
            <w:tcW w:w="709" w:type="dxa"/>
            <w:shd w:val="clear" w:color="auto" w:fill="auto"/>
            <w:noWrap/>
            <w:vAlign w:val="center"/>
          </w:tcPr>
          <w:p w14:paraId="59132012" w14:textId="6646E352" w:rsidR="0073400B" w:rsidRPr="00A31E5E" w:rsidRDefault="0073400B" w:rsidP="00A63C69">
            <w:pPr>
              <w:autoSpaceDE/>
              <w:autoSpaceDN/>
              <w:jc w:val="center"/>
              <w:rPr>
                <w:b/>
                <w:bCs/>
                <w:lang w:eastAsia="et-EE"/>
              </w:rPr>
            </w:pPr>
            <w:r w:rsidRPr="00A31E5E">
              <w:rPr>
                <w:b/>
                <w:bCs/>
                <w:lang w:eastAsia="et-EE"/>
              </w:rPr>
              <w:t>1</w:t>
            </w:r>
            <w:r w:rsidR="00620B1A" w:rsidRPr="00A31E5E">
              <w:rPr>
                <w:b/>
                <w:bCs/>
                <w:lang w:eastAsia="et-EE"/>
              </w:rPr>
              <w:t>9</w:t>
            </w:r>
          </w:p>
        </w:tc>
        <w:tc>
          <w:tcPr>
            <w:tcW w:w="1418" w:type="dxa"/>
            <w:vMerge/>
            <w:tcBorders>
              <w:top w:val="nil"/>
              <w:bottom w:val="nil"/>
            </w:tcBorders>
            <w:shd w:val="clear" w:color="auto" w:fill="FDE9D9" w:themeFill="accent6" w:themeFillTint="33"/>
            <w:vAlign w:val="center"/>
          </w:tcPr>
          <w:p w14:paraId="4DC229FB" w14:textId="77777777" w:rsidR="0073400B" w:rsidRPr="00A733B7" w:rsidRDefault="0073400B" w:rsidP="00162496">
            <w:pPr>
              <w:autoSpaceDE/>
              <w:autoSpaceDN/>
              <w:rPr>
                <w:bCs/>
                <w:lang w:eastAsia="et-EE"/>
              </w:rPr>
            </w:pPr>
          </w:p>
        </w:tc>
        <w:tc>
          <w:tcPr>
            <w:tcW w:w="2835" w:type="dxa"/>
            <w:shd w:val="clear" w:color="auto" w:fill="auto"/>
            <w:vAlign w:val="center"/>
          </w:tcPr>
          <w:p w14:paraId="2CD15B0D" w14:textId="0CCA2672" w:rsidR="0073400B" w:rsidRPr="00A733B7" w:rsidRDefault="00F3240F" w:rsidP="006317F4">
            <w:pPr>
              <w:autoSpaceDE/>
              <w:autoSpaceDN/>
              <w:rPr>
                <w:lang w:eastAsia="et-EE"/>
              </w:rPr>
            </w:pPr>
            <w:r w:rsidRPr="001B1AA2">
              <w:rPr>
                <w:lang w:eastAsia="et-EE"/>
              </w:rPr>
              <w:t>Põllumajandustootja</w:t>
            </w:r>
            <w:r w:rsidR="007911F8">
              <w:rPr>
                <w:lang w:eastAsia="et-EE"/>
              </w:rPr>
              <w:t xml:space="preserve">, </w:t>
            </w:r>
            <w:r w:rsidR="00EA2400">
              <w:rPr>
                <w:lang w:eastAsia="et-EE"/>
              </w:rPr>
              <w:t xml:space="preserve">avaliku sektori </w:t>
            </w:r>
            <w:r w:rsidR="00A2683B" w:rsidRPr="001B1AA2">
              <w:rPr>
                <w:lang w:eastAsia="et-EE"/>
              </w:rPr>
              <w:t>põllumajandusettevõtja</w:t>
            </w:r>
            <w:r w:rsidR="00EA2400">
              <w:rPr>
                <w:lang w:eastAsia="et-EE"/>
              </w:rPr>
              <w:t xml:space="preserve"> või </w:t>
            </w:r>
            <w:r w:rsidR="00824C6D" w:rsidRPr="001B1AA2">
              <w:rPr>
                <w:lang w:eastAsia="et-EE"/>
              </w:rPr>
              <w:t>põllumajandusvaldkonna muuseum</w:t>
            </w:r>
            <w:r w:rsidRPr="00A733B7">
              <w:rPr>
                <w:lang w:eastAsia="et-EE"/>
              </w:rPr>
              <w:t>,</w:t>
            </w:r>
            <w:r w:rsidRPr="00A733B7">
              <w:t xml:space="preserve"> </w:t>
            </w:r>
            <w:r w:rsidRPr="00A733B7">
              <w:rPr>
                <w:lang w:eastAsia="et-EE"/>
              </w:rPr>
              <w:t>kes loob sotsiaalmajanduslikku lisandväärtust kultuuripärandi säilitamise</w:t>
            </w:r>
            <w:r w:rsidR="005B5BC6" w:rsidRPr="00A733B7">
              <w:rPr>
                <w:lang w:eastAsia="et-EE"/>
              </w:rPr>
              <w:t xml:space="preserve"> </w:t>
            </w:r>
            <w:r w:rsidR="003146E1">
              <w:rPr>
                <w:lang w:eastAsia="et-EE"/>
              </w:rPr>
              <w:t>kaudu</w:t>
            </w:r>
          </w:p>
        </w:tc>
        <w:tc>
          <w:tcPr>
            <w:tcW w:w="7371" w:type="dxa"/>
            <w:shd w:val="clear" w:color="auto" w:fill="auto"/>
            <w:vAlign w:val="center"/>
          </w:tcPr>
          <w:p w14:paraId="769EC588" w14:textId="77CBA0E0" w:rsidR="0073400B" w:rsidRPr="00F21B5D" w:rsidRDefault="00F3240F" w:rsidP="006317F4">
            <w:pPr>
              <w:autoSpaceDE/>
              <w:autoSpaceDN/>
              <w:jc w:val="both"/>
              <w:rPr>
                <w:lang w:eastAsia="et-EE"/>
              </w:rPr>
            </w:pPr>
            <w:r w:rsidRPr="00F21B5D">
              <w:rPr>
                <w:lang w:eastAsia="et-EE"/>
              </w:rPr>
              <w:t>Kavandat</w:t>
            </w:r>
            <w:r w:rsidR="00AB7A9A" w:rsidRPr="00F21B5D">
              <w:rPr>
                <w:lang w:eastAsia="et-EE"/>
              </w:rPr>
              <w:t>avast</w:t>
            </w:r>
            <w:r w:rsidRPr="00F21B5D">
              <w:rPr>
                <w:lang w:eastAsia="et-EE"/>
              </w:rPr>
              <w:t xml:space="preserve"> investeeringust </w:t>
            </w:r>
            <w:r w:rsidR="00EC7A18" w:rsidRPr="00F21B5D">
              <w:rPr>
                <w:lang w:eastAsia="et-EE"/>
              </w:rPr>
              <w:t>üle</w:t>
            </w:r>
            <w:r w:rsidRPr="00F21B5D">
              <w:rPr>
                <w:lang w:eastAsia="et-EE"/>
              </w:rPr>
              <w:t xml:space="preserve"> 50</w:t>
            </w:r>
            <w:r w:rsidR="00D94AD7" w:rsidRPr="00F21B5D">
              <w:rPr>
                <w:lang w:eastAsia="et-EE"/>
              </w:rPr>
              <w:t>,00</w:t>
            </w:r>
            <w:r w:rsidRPr="00F21B5D">
              <w:rPr>
                <w:lang w:eastAsia="et-EE"/>
              </w:rPr>
              <w:t xml:space="preserve">% moodustab investeering kultuurimälestise konserveerimiseks, restaureerimiseks </w:t>
            </w:r>
            <w:r w:rsidR="00E2501E" w:rsidRPr="00F21B5D">
              <w:rPr>
                <w:lang w:eastAsia="et-EE"/>
              </w:rPr>
              <w:t>või</w:t>
            </w:r>
            <w:r w:rsidRPr="00F21B5D">
              <w:rPr>
                <w:lang w:eastAsia="et-EE"/>
              </w:rPr>
              <w:t xml:space="preserve"> ehitamiseks</w:t>
            </w:r>
            <w:r w:rsidR="00147D15" w:rsidRPr="00F21B5D">
              <w:rPr>
                <w:lang w:eastAsia="et-EE"/>
              </w:rPr>
              <w:t xml:space="preserve"> muinsuskaitseseaduse tähenduses</w:t>
            </w:r>
          </w:p>
        </w:tc>
        <w:tc>
          <w:tcPr>
            <w:tcW w:w="992" w:type="dxa"/>
            <w:shd w:val="clear" w:color="auto" w:fill="auto"/>
            <w:vAlign w:val="center"/>
          </w:tcPr>
          <w:p w14:paraId="440CDB02" w14:textId="77777777" w:rsidR="0073400B" w:rsidRPr="00A31E5E" w:rsidRDefault="00F3240F" w:rsidP="00162496">
            <w:pPr>
              <w:autoSpaceDE/>
              <w:autoSpaceDN/>
              <w:jc w:val="center"/>
              <w:rPr>
                <w:b/>
                <w:bCs/>
                <w:lang w:eastAsia="et-EE"/>
              </w:rPr>
            </w:pPr>
            <w:r w:rsidRPr="00A31E5E">
              <w:rPr>
                <w:b/>
                <w:bCs/>
                <w:lang w:eastAsia="et-EE"/>
              </w:rPr>
              <w:t>4</w:t>
            </w:r>
          </w:p>
        </w:tc>
      </w:tr>
      <w:tr w:rsidR="007F7BCB" w:rsidRPr="00F1775E" w14:paraId="5716A01B" w14:textId="77777777" w:rsidTr="008F05F8">
        <w:trPr>
          <w:trHeight w:val="406"/>
        </w:trPr>
        <w:tc>
          <w:tcPr>
            <w:tcW w:w="851" w:type="dxa"/>
            <w:tcBorders>
              <w:bottom w:val="nil"/>
            </w:tcBorders>
            <w:shd w:val="clear" w:color="auto" w:fill="auto"/>
            <w:vAlign w:val="center"/>
          </w:tcPr>
          <w:p w14:paraId="30DBE9CD" w14:textId="77777777" w:rsidR="0043507B" w:rsidRPr="00EC7A18" w:rsidRDefault="0043507B" w:rsidP="005F75A4">
            <w:pPr>
              <w:autoSpaceDE/>
              <w:autoSpaceDN/>
              <w:jc w:val="center"/>
              <w:rPr>
                <w:b/>
                <w:bCs/>
                <w:sz w:val="48"/>
                <w:szCs w:val="48"/>
                <w:lang w:eastAsia="et-EE"/>
              </w:rPr>
            </w:pPr>
            <w:r w:rsidRPr="00EC7A18">
              <w:rPr>
                <w:b/>
                <w:bCs/>
                <w:sz w:val="48"/>
                <w:szCs w:val="48"/>
                <w:lang w:eastAsia="et-EE"/>
              </w:rPr>
              <w:t>8</w:t>
            </w:r>
          </w:p>
        </w:tc>
        <w:tc>
          <w:tcPr>
            <w:tcW w:w="709" w:type="dxa"/>
            <w:shd w:val="clear" w:color="auto" w:fill="auto"/>
            <w:noWrap/>
            <w:vAlign w:val="center"/>
          </w:tcPr>
          <w:p w14:paraId="7FA528C6" w14:textId="4D63AAA4" w:rsidR="0043507B" w:rsidRPr="00A31E5E" w:rsidRDefault="0043507B" w:rsidP="00A63C69">
            <w:pPr>
              <w:autoSpaceDE/>
              <w:autoSpaceDN/>
              <w:jc w:val="center"/>
              <w:rPr>
                <w:b/>
                <w:bCs/>
                <w:lang w:eastAsia="et-EE"/>
              </w:rPr>
            </w:pPr>
            <w:r w:rsidRPr="00A31E5E">
              <w:rPr>
                <w:b/>
                <w:bCs/>
                <w:lang w:eastAsia="et-EE"/>
              </w:rPr>
              <w:t>20</w:t>
            </w:r>
          </w:p>
        </w:tc>
        <w:tc>
          <w:tcPr>
            <w:tcW w:w="1418" w:type="dxa"/>
            <w:tcBorders>
              <w:top w:val="nil"/>
              <w:bottom w:val="nil"/>
            </w:tcBorders>
            <w:shd w:val="clear" w:color="auto" w:fill="FDE9D9" w:themeFill="accent6" w:themeFillTint="33"/>
            <w:vAlign w:val="center"/>
          </w:tcPr>
          <w:p w14:paraId="7E1A22D2" w14:textId="77777777" w:rsidR="0043507B" w:rsidRPr="00A733B7" w:rsidRDefault="0043507B" w:rsidP="00162496">
            <w:pPr>
              <w:autoSpaceDE/>
              <w:autoSpaceDN/>
              <w:rPr>
                <w:bCs/>
                <w:lang w:eastAsia="et-EE"/>
              </w:rPr>
            </w:pPr>
          </w:p>
        </w:tc>
        <w:tc>
          <w:tcPr>
            <w:tcW w:w="2835" w:type="dxa"/>
            <w:shd w:val="clear" w:color="auto" w:fill="auto"/>
            <w:vAlign w:val="center"/>
          </w:tcPr>
          <w:p w14:paraId="4BB6CBE6" w14:textId="368C8404" w:rsidR="0043507B" w:rsidRPr="001B1AA2" w:rsidRDefault="0043507B" w:rsidP="0095772B">
            <w:pPr>
              <w:autoSpaceDE/>
              <w:autoSpaceDN/>
              <w:rPr>
                <w:lang w:eastAsia="et-EE"/>
              </w:rPr>
            </w:pPr>
            <w:r w:rsidRPr="009D04C3">
              <w:rPr>
                <w:lang w:eastAsia="et-EE"/>
              </w:rPr>
              <w:t>Taotleja</w:t>
            </w:r>
            <w:r w:rsidRPr="001B1AA2">
              <w:rPr>
                <w:lang w:eastAsia="et-EE"/>
              </w:rPr>
              <w:t xml:space="preserve">, kes loob sotsiaalmajanduslikku lisandväärtust </w:t>
            </w:r>
            <w:r w:rsidR="009A7D48" w:rsidRPr="00EB7E85">
              <w:t xml:space="preserve">põllumajandustootmisega </w:t>
            </w:r>
            <w:r w:rsidR="009A7D48" w:rsidRPr="00125F72">
              <w:t xml:space="preserve">seotud </w:t>
            </w:r>
            <w:r w:rsidR="0095772B" w:rsidRPr="00DB1419">
              <w:t>asja</w:t>
            </w:r>
            <w:r w:rsidR="009A7D48" w:rsidRPr="00DB1419">
              <w:t xml:space="preserve"> </w:t>
            </w:r>
            <w:r w:rsidR="009A7D48" w:rsidRPr="00125F72">
              <w:t xml:space="preserve">või </w:t>
            </w:r>
            <w:r w:rsidRPr="00125F72">
              <w:rPr>
                <w:lang w:eastAsia="et-EE"/>
              </w:rPr>
              <w:t xml:space="preserve">kultuuripärandi </w:t>
            </w:r>
            <w:r w:rsidR="002E3C36">
              <w:rPr>
                <w:lang w:eastAsia="et-EE"/>
              </w:rPr>
              <w:t>vahendamise</w:t>
            </w:r>
            <w:r w:rsidR="0095772B" w:rsidRPr="00CE6BB0">
              <w:rPr>
                <w:lang w:eastAsia="et-EE"/>
              </w:rPr>
              <w:t xml:space="preserve"> </w:t>
            </w:r>
            <w:r w:rsidR="003146E1">
              <w:rPr>
                <w:lang w:eastAsia="et-EE"/>
              </w:rPr>
              <w:t>kaudu</w:t>
            </w:r>
          </w:p>
        </w:tc>
        <w:tc>
          <w:tcPr>
            <w:tcW w:w="7371" w:type="dxa"/>
            <w:shd w:val="clear" w:color="auto" w:fill="auto"/>
            <w:vAlign w:val="center"/>
          </w:tcPr>
          <w:p w14:paraId="3EB908E7" w14:textId="650D7BA6" w:rsidR="0043507B" w:rsidRPr="001B1AA2" w:rsidRDefault="0043507B" w:rsidP="00B310BF">
            <w:pPr>
              <w:autoSpaceDE/>
              <w:autoSpaceDN/>
              <w:jc w:val="both"/>
              <w:rPr>
                <w:lang w:eastAsia="et-EE"/>
              </w:rPr>
            </w:pPr>
            <w:r w:rsidRPr="005333E8">
              <w:rPr>
                <w:lang w:eastAsia="et-EE"/>
              </w:rPr>
              <w:t>Taotleja</w:t>
            </w:r>
            <w:r w:rsidRPr="001B1AA2">
              <w:rPr>
                <w:lang w:eastAsia="et-EE"/>
              </w:rPr>
              <w:t xml:space="preserve"> on </w:t>
            </w:r>
            <w:r w:rsidR="008E5D24">
              <w:rPr>
                <w:lang w:eastAsia="et-EE"/>
              </w:rPr>
              <w:t xml:space="preserve">põllumajandusvaldkonna muuseum või </w:t>
            </w:r>
            <w:r w:rsidRPr="001B1AA2">
              <w:rPr>
                <w:lang w:eastAsia="et-EE"/>
              </w:rPr>
              <w:t xml:space="preserve">muuseumiseaduse tähenduses </w:t>
            </w:r>
            <w:r w:rsidRPr="005333E8">
              <w:rPr>
                <w:lang w:eastAsia="et-EE"/>
              </w:rPr>
              <w:t>riigi</w:t>
            </w:r>
            <w:r w:rsidRPr="001B1AA2">
              <w:rPr>
                <w:lang w:eastAsia="et-EE"/>
              </w:rPr>
              <w:t xml:space="preserve"> sihtasutuse muuseum</w:t>
            </w:r>
            <w:r w:rsidR="00B310BF">
              <w:t xml:space="preserve"> </w:t>
            </w:r>
            <w:r w:rsidR="00B310BF" w:rsidRPr="00B310BF">
              <w:rPr>
                <w:lang w:eastAsia="et-EE"/>
              </w:rPr>
              <w:t xml:space="preserve">või </w:t>
            </w:r>
            <w:r w:rsidR="00B310BF">
              <w:rPr>
                <w:lang w:eastAsia="et-EE"/>
              </w:rPr>
              <w:t>tema</w:t>
            </w:r>
            <w:r w:rsidR="00B310BF" w:rsidRPr="00B310BF">
              <w:rPr>
                <w:lang w:eastAsia="et-EE"/>
              </w:rPr>
              <w:t xml:space="preserve"> EMTAK 2008 jao R alajakku 9102 liigitatava muuseumide tegevusalast saadav müügitulu moodustab üle 50,00% tema taotluse esitamisele vahetult eelnenud majandusaasta müügitulust</w:t>
            </w:r>
            <w:r w:rsidRPr="001B1AA2">
              <w:rPr>
                <w:lang w:eastAsia="et-EE"/>
              </w:rPr>
              <w:t xml:space="preserve"> </w:t>
            </w:r>
            <w:r w:rsidR="003B5C90" w:rsidRPr="002E3C36">
              <w:rPr>
                <w:lang w:eastAsia="et-EE"/>
              </w:rPr>
              <w:t>või</w:t>
            </w:r>
            <w:r w:rsidR="003B5C90" w:rsidRPr="001B1AA2">
              <w:rPr>
                <w:lang w:eastAsia="et-EE"/>
              </w:rPr>
              <w:t xml:space="preserve"> </w:t>
            </w:r>
            <w:r w:rsidR="003B5C90" w:rsidRPr="001B1AA2">
              <w:t xml:space="preserve">kavandatav investeering tehakse kultuurimälestise </w:t>
            </w:r>
            <w:r w:rsidR="00D30D4E" w:rsidRPr="001B1AA2">
              <w:t xml:space="preserve">konserveerimiseks, </w:t>
            </w:r>
            <w:r w:rsidR="005F35AD" w:rsidRPr="00A733B7">
              <w:t>restaureerimiseks või ehitamiseks</w:t>
            </w:r>
            <w:r w:rsidR="00D30D4E" w:rsidRPr="00A733B7">
              <w:t xml:space="preserve"> </w:t>
            </w:r>
            <w:r w:rsidR="00147D15" w:rsidRPr="001B1AA2">
              <w:t xml:space="preserve">muinsuskaitseseaduse tähenduses </w:t>
            </w:r>
            <w:r w:rsidR="00D30D4E" w:rsidRPr="00A733B7">
              <w:t xml:space="preserve">ning kavandatud majandustegevusega kaasneb </w:t>
            </w:r>
            <w:r w:rsidR="00D30D4E" w:rsidRPr="009D04C3">
              <w:t xml:space="preserve">investeeringuobjekti </w:t>
            </w:r>
            <w:r w:rsidR="009D04C3" w:rsidRPr="009D04C3">
              <w:t>vahendamine</w:t>
            </w:r>
            <w:r w:rsidR="00D30D4E" w:rsidRPr="009D04C3">
              <w:t xml:space="preserve"> avalikkusele</w:t>
            </w:r>
            <w:r w:rsidR="00DF76BF">
              <w:t xml:space="preserve"> (näiteks </w:t>
            </w:r>
            <w:r w:rsidR="0048662C">
              <w:t xml:space="preserve">on </w:t>
            </w:r>
            <w:r w:rsidR="00DF76BF">
              <w:t>külastamiseks avatud)</w:t>
            </w:r>
          </w:p>
        </w:tc>
        <w:tc>
          <w:tcPr>
            <w:tcW w:w="992" w:type="dxa"/>
            <w:shd w:val="clear" w:color="auto" w:fill="auto"/>
            <w:vAlign w:val="center"/>
          </w:tcPr>
          <w:p w14:paraId="5B97514B" w14:textId="77777777" w:rsidR="0043507B" w:rsidRPr="00A31E5E" w:rsidRDefault="0043507B" w:rsidP="00162496">
            <w:pPr>
              <w:autoSpaceDE/>
              <w:autoSpaceDN/>
              <w:jc w:val="center"/>
              <w:rPr>
                <w:b/>
                <w:bCs/>
                <w:lang w:eastAsia="et-EE"/>
              </w:rPr>
            </w:pPr>
            <w:r w:rsidRPr="00A31E5E">
              <w:rPr>
                <w:b/>
                <w:bCs/>
                <w:lang w:eastAsia="et-EE"/>
              </w:rPr>
              <w:t>3</w:t>
            </w:r>
          </w:p>
        </w:tc>
      </w:tr>
      <w:tr w:rsidR="0004008D" w:rsidRPr="00F1775E" w14:paraId="50EAA79B" w14:textId="77777777" w:rsidTr="008F05F8">
        <w:trPr>
          <w:trHeight w:val="63"/>
        </w:trPr>
        <w:tc>
          <w:tcPr>
            <w:tcW w:w="851" w:type="dxa"/>
            <w:tcBorders>
              <w:top w:val="nil"/>
            </w:tcBorders>
            <w:shd w:val="clear" w:color="auto" w:fill="auto"/>
            <w:vAlign w:val="center"/>
          </w:tcPr>
          <w:p w14:paraId="5AC6E09C" w14:textId="77777777" w:rsidR="0043507B" w:rsidRPr="00EC7A18" w:rsidRDefault="0043507B" w:rsidP="005F75A4">
            <w:pPr>
              <w:autoSpaceDE/>
              <w:autoSpaceDN/>
              <w:jc w:val="center"/>
              <w:rPr>
                <w:b/>
                <w:bCs/>
                <w:sz w:val="48"/>
                <w:szCs w:val="48"/>
                <w:lang w:eastAsia="et-EE"/>
              </w:rPr>
            </w:pPr>
          </w:p>
        </w:tc>
        <w:tc>
          <w:tcPr>
            <w:tcW w:w="709" w:type="dxa"/>
            <w:shd w:val="clear" w:color="auto" w:fill="auto"/>
            <w:noWrap/>
            <w:vAlign w:val="center"/>
          </w:tcPr>
          <w:p w14:paraId="1AA3B7E3" w14:textId="54D84AE4" w:rsidR="0043507B" w:rsidRPr="00A31E5E" w:rsidDel="00620B1A" w:rsidRDefault="00912BFE" w:rsidP="00A63C69">
            <w:pPr>
              <w:autoSpaceDE/>
              <w:autoSpaceDN/>
              <w:jc w:val="center"/>
              <w:rPr>
                <w:b/>
                <w:bCs/>
                <w:lang w:eastAsia="et-EE"/>
              </w:rPr>
            </w:pPr>
            <w:r w:rsidRPr="00A31E5E">
              <w:rPr>
                <w:b/>
                <w:bCs/>
                <w:lang w:eastAsia="et-EE"/>
              </w:rPr>
              <w:t>21</w:t>
            </w:r>
          </w:p>
        </w:tc>
        <w:tc>
          <w:tcPr>
            <w:tcW w:w="1418" w:type="dxa"/>
            <w:tcBorders>
              <w:top w:val="nil"/>
            </w:tcBorders>
            <w:shd w:val="clear" w:color="auto" w:fill="FDE9D9" w:themeFill="accent6" w:themeFillTint="33"/>
            <w:vAlign w:val="center"/>
          </w:tcPr>
          <w:p w14:paraId="15D23292" w14:textId="77777777" w:rsidR="0043507B" w:rsidRPr="00A733B7" w:rsidRDefault="0043507B" w:rsidP="00162496">
            <w:pPr>
              <w:autoSpaceDE/>
              <w:autoSpaceDN/>
              <w:rPr>
                <w:bCs/>
                <w:lang w:eastAsia="et-EE"/>
              </w:rPr>
            </w:pPr>
          </w:p>
        </w:tc>
        <w:tc>
          <w:tcPr>
            <w:tcW w:w="2835" w:type="dxa"/>
            <w:shd w:val="clear" w:color="auto" w:fill="auto"/>
            <w:vAlign w:val="center"/>
          </w:tcPr>
          <w:p w14:paraId="3BEAB9DF" w14:textId="48FF42DD" w:rsidR="0043507B" w:rsidRPr="00A733B7" w:rsidRDefault="0043507B" w:rsidP="00F3240F">
            <w:pPr>
              <w:autoSpaceDE/>
              <w:autoSpaceDN/>
              <w:rPr>
                <w:lang w:eastAsia="et-EE"/>
              </w:rPr>
            </w:pPr>
          </w:p>
        </w:tc>
        <w:tc>
          <w:tcPr>
            <w:tcW w:w="7371" w:type="dxa"/>
            <w:shd w:val="clear" w:color="auto" w:fill="auto"/>
            <w:vAlign w:val="center"/>
          </w:tcPr>
          <w:p w14:paraId="36E967A5" w14:textId="27FD86EC" w:rsidR="0043507B" w:rsidRPr="00F21B5D" w:rsidRDefault="0043507B" w:rsidP="00AE6448">
            <w:pPr>
              <w:autoSpaceDE/>
              <w:autoSpaceDN/>
              <w:jc w:val="both"/>
              <w:rPr>
                <w:lang w:eastAsia="et-EE"/>
              </w:rPr>
            </w:pPr>
            <w:r w:rsidRPr="00F21B5D">
              <w:rPr>
                <w:lang w:eastAsia="et-EE"/>
              </w:rPr>
              <w:t>Lisapunktid</w:t>
            </w:r>
            <w:r w:rsidR="009E3D9B" w:rsidRPr="00F21B5D">
              <w:rPr>
                <w:lang w:eastAsia="et-EE"/>
              </w:rPr>
              <w:t xml:space="preserve"> juhul,</w:t>
            </w:r>
            <w:r w:rsidRPr="00F21B5D">
              <w:rPr>
                <w:lang w:eastAsia="et-EE"/>
              </w:rPr>
              <w:t xml:space="preserve"> kui taotleja on põllu- ja maamajanduse valdkonna riigi sihtasutuse muuseum</w:t>
            </w:r>
          </w:p>
        </w:tc>
        <w:tc>
          <w:tcPr>
            <w:tcW w:w="992" w:type="dxa"/>
            <w:shd w:val="clear" w:color="auto" w:fill="auto"/>
            <w:vAlign w:val="center"/>
          </w:tcPr>
          <w:p w14:paraId="3339F14B" w14:textId="1C185990" w:rsidR="0043507B" w:rsidRPr="00A31E5E" w:rsidRDefault="0043507B" w:rsidP="00162496">
            <w:pPr>
              <w:autoSpaceDE/>
              <w:autoSpaceDN/>
              <w:jc w:val="center"/>
              <w:rPr>
                <w:b/>
                <w:bCs/>
                <w:lang w:eastAsia="et-EE"/>
              </w:rPr>
            </w:pPr>
            <w:r w:rsidRPr="00A31E5E">
              <w:rPr>
                <w:b/>
                <w:bCs/>
                <w:lang w:eastAsia="et-EE"/>
              </w:rPr>
              <w:t>5</w:t>
            </w:r>
          </w:p>
        </w:tc>
      </w:tr>
      <w:tr w:rsidR="0004008D" w:rsidRPr="00F1775E" w14:paraId="05637965" w14:textId="77777777" w:rsidTr="008F05F8">
        <w:trPr>
          <w:trHeight w:val="526"/>
        </w:trPr>
        <w:tc>
          <w:tcPr>
            <w:tcW w:w="851" w:type="dxa"/>
            <w:shd w:val="clear" w:color="auto" w:fill="auto"/>
            <w:vAlign w:val="center"/>
            <w:hideMark/>
          </w:tcPr>
          <w:p w14:paraId="366B92C7" w14:textId="77777777" w:rsidR="000D423D" w:rsidRPr="00EC7A18" w:rsidRDefault="00641195" w:rsidP="001B1AA2">
            <w:pPr>
              <w:autoSpaceDE/>
              <w:autoSpaceDN/>
              <w:jc w:val="center"/>
              <w:rPr>
                <w:b/>
                <w:bCs/>
                <w:sz w:val="48"/>
                <w:szCs w:val="48"/>
                <w:lang w:eastAsia="et-EE"/>
              </w:rPr>
            </w:pPr>
            <w:r w:rsidRPr="00EC7A18">
              <w:rPr>
                <w:b/>
                <w:bCs/>
                <w:sz w:val="48"/>
                <w:szCs w:val="48"/>
                <w:lang w:eastAsia="et-EE"/>
              </w:rPr>
              <w:t>9</w:t>
            </w:r>
          </w:p>
        </w:tc>
        <w:tc>
          <w:tcPr>
            <w:tcW w:w="709" w:type="dxa"/>
            <w:shd w:val="clear" w:color="auto" w:fill="auto"/>
            <w:noWrap/>
            <w:vAlign w:val="center"/>
            <w:hideMark/>
          </w:tcPr>
          <w:p w14:paraId="57EAABCA" w14:textId="02033C35" w:rsidR="000D423D" w:rsidRPr="008D6352" w:rsidRDefault="000A360D" w:rsidP="001B1AA2">
            <w:pPr>
              <w:autoSpaceDE/>
              <w:autoSpaceDN/>
              <w:jc w:val="center"/>
              <w:rPr>
                <w:b/>
                <w:bCs/>
                <w:lang w:eastAsia="et-EE"/>
              </w:rPr>
            </w:pPr>
            <w:r w:rsidRPr="008D6352">
              <w:rPr>
                <w:b/>
                <w:bCs/>
                <w:lang w:eastAsia="et-EE"/>
              </w:rPr>
              <w:t>22</w:t>
            </w:r>
          </w:p>
        </w:tc>
        <w:tc>
          <w:tcPr>
            <w:tcW w:w="1418" w:type="dxa"/>
            <w:vMerge w:val="restart"/>
            <w:shd w:val="clear" w:color="auto" w:fill="EAF1DD" w:themeFill="accent3" w:themeFillTint="33"/>
            <w:vAlign w:val="center"/>
            <w:hideMark/>
          </w:tcPr>
          <w:p w14:paraId="60CD59DE" w14:textId="77777777" w:rsidR="000D423D" w:rsidRPr="003D55F7" w:rsidRDefault="000D423D" w:rsidP="001B1AA2">
            <w:pPr>
              <w:autoSpaceDE/>
              <w:autoSpaceDN/>
              <w:jc w:val="center"/>
              <w:rPr>
                <w:b/>
                <w:bCs/>
                <w:lang w:eastAsia="et-EE"/>
              </w:rPr>
            </w:pPr>
            <w:r w:rsidRPr="003D55F7">
              <w:rPr>
                <w:b/>
                <w:bCs/>
                <w:lang w:eastAsia="et-EE"/>
              </w:rPr>
              <w:t>Keskkond</w:t>
            </w:r>
          </w:p>
        </w:tc>
        <w:tc>
          <w:tcPr>
            <w:tcW w:w="2835" w:type="dxa"/>
            <w:shd w:val="clear" w:color="auto" w:fill="auto"/>
            <w:vAlign w:val="center"/>
            <w:hideMark/>
          </w:tcPr>
          <w:p w14:paraId="40FD92A8" w14:textId="77777777" w:rsidR="000D423D" w:rsidRPr="00F1775E" w:rsidRDefault="000D423D" w:rsidP="001B1AA2">
            <w:pPr>
              <w:autoSpaceDE/>
              <w:autoSpaceDN/>
              <w:rPr>
                <w:lang w:eastAsia="et-EE"/>
              </w:rPr>
            </w:pPr>
            <w:r w:rsidRPr="00F1775E">
              <w:rPr>
                <w:lang w:eastAsia="et-EE"/>
              </w:rPr>
              <w:t>Bioenergia tootmine</w:t>
            </w:r>
          </w:p>
        </w:tc>
        <w:tc>
          <w:tcPr>
            <w:tcW w:w="7371" w:type="dxa"/>
            <w:shd w:val="clear" w:color="auto" w:fill="auto"/>
            <w:vAlign w:val="center"/>
            <w:hideMark/>
          </w:tcPr>
          <w:p w14:paraId="5AF01E48" w14:textId="17C7A060" w:rsidR="000D423D" w:rsidRPr="00F21B5D" w:rsidRDefault="000D423D" w:rsidP="001B1AA2">
            <w:pPr>
              <w:autoSpaceDE/>
              <w:autoSpaceDN/>
              <w:jc w:val="both"/>
              <w:rPr>
                <w:lang w:eastAsia="et-EE"/>
              </w:rPr>
            </w:pPr>
            <w:r w:rsidRPr="00F21B5D">
              <w:rPr>
                <w:lang w:eastAsia="et-EE"/>
              </w:rPr>
              <w:t xml:space="preserve">Kogu investeeringust </w:t>
            </w:r>
            <w:r w:rsidR="00EC7A18" w:rsidRPr="00F21B5D">
              <w:rPr>
                <w:lang w:eastAsia="et-EE"/>
              </w:rPr>
              <w:t>üle</w:t>
            </w:r>
            <w:r w:rsidRPr="00F21B5D">
              <w:rPr>
                <w:lang w:eastAsia="et-EE"/>
              </w:rPr>
              <w:t xml:space="preserve"> 50,00% moodustab investeering bioenergia tootmisesse</w:t>
            </w:r>
          </w:p>
        </w:tc>
        <w:tc>
          <w:tcPr>
            <w:tcW w:w="992" w:type="dxa"/>
            <w:shd w:val="clear" w:color="auto" w:fill="auto"/>
            <w:vAlign w:val="center"/>
            <w:hideMark/>
          </w:tcPr>
          <w:p w14:paraId="48C69589" w14:textId="77777777" w:rsidR="000D423D" w:rsidRPr="003D55F7" w:rsidRDefault="000D423D" w:rsidP="001B1AA2">
            <w:pPr>
              <w:autoSpaceDE/>
              <w:autoSpaceDN/>
              <w:jc w:val="center"/>
              <w:rPr>
                <w:b/>
                <w:bCs/>
                <w:lang w:eastAsia="et-EE"/>
              </w:rPr>
            </w:pPr>
            <w:r w:rsidRPr="003D55F7">
              <w:rPr>
                <w:b/>
                <w:bCs/>
                <w:lang w:eastAsia="et-EE"/>
              </w:rPr>
              <w:t>4</w:t>
            </w:r>
          </w:p>
        </w:tc>
      </w:tr>
      <w:tr w:rsidR="0004008D" w:rsidRPr="00F1775E" w14:paraId="39DFF2A9" w14:textId="77777777" w:rsidTr="008F05F8">
        <w:trPr>
          <w:trHeight w:val="63"/>
        </w:trPr>
        <w:tc>
          <w:tcPr>
            <w:tcW w:w="851" w:type="dxa"/>
            <w:shd w:val="clear" w:color="auto" w:fill="auto"/>
            <w:vAlign w:val="center"/>
            <w:hideMark/>
          </w:tcPr>
          <w:p w14:paraId="5434DC40" w14:textId="77777777" w:rsidR="000D423D" w:rsidRPr="00EC7A18" w:rsidRDefault="00641195" w:rsidP="001B1AA2">
            <w:pPr>
              <w:autoSpaceDE/>
              <w:autoSpaceDN/>
              <w:jc w:val="center"/>
              <w:rPr>
                <w:b/>
                <w:bCs/>
                <w:sz w:val="40"/>
                <w:szCs w:val="40"/>
                <w:lang w:eastAsia="et-EE"/>
              </w:rPr>
            </w:pPr>
            <w:r w:rsidRPr="00EC7A18">
              <w:rPr>
                <w:b/>
                <w:bCs/>
                <w:sz w:val="40"/>
                <w:szCs w:val="40"/>
                <w:lang w:eastAsia="et-EE"/>
              </w:rPr>
              <w:t>10</w:t>
            </w:r>
          </w:p>
        </w:tc>
        <w:tc>
          <w:tcPr>
            <w:tcW w:w="709" w:type="dxa"/>
            <w:shd w:val="clear" w:color="auto" w:fill="auto"/>
            <w:noWrap/>
            <w:vAlign w:val="center"/>
            <w:hideMark/>
          </w:tcPr>
          <w:p w14:paraId="0AF264CF" w14:textId="58B972D7" w:rsidR="000D423D" w:rsidRPr="004A3EA0" w:rsidRDefault="000A360D" w:rsidP="001B1AA2">
            <w:pPr>
              <w:autoSpaceDE/>
              <w:autoSpaceDN/>
              <w:jc w:val="center"/>
              <w:rPr>
                <w:b/>
                <w:bCs/>
                <w:lang w:eastAsia="et-EE"/>
              </w:rPr>
            </w:pPr>
            <w:r w:rsidRPr="004A3EA0">
              <w:rPr>
                <w:b/>
                <w:bCs/>
                <w:lang w:eastAsia="et-EE"/>
              </w:rPr>
              <w:t>23</w:t>
            </w:r>
          </w:p>
        </w:tc>
        <w:tc>
          <w:tcPr>
            <w:tcW w:w="1418" w:type="dxa"/>
            <w:vMerge/>
            <w:shd w:val="clear" w:color="auto" w:fill="EAF1DD" w:themeFill="accent3" w:themeFillTint="33"/>
            <w:vAlign w:val="center"/>
            <w:hideMark/>
          </w:tcPr>
          <w:p w14:paraId="10121FB6" w14:textId="77777777" w:rsidR="000D423D" w:rsidRPr="00A733B7" w:rsidRDefault="000D423D" w:rsidP="00A733B7">
            <w:pPr>
              <w:autoSpaceDE/>
              <w:autoSpaceDN/>
              <w:rPr>
                <w:bCs/>
                <w:lang w:eastAsia="et-EE"/>
              </w:rPr>
            </w:pPr>
          </w:p>
        </w:tc>
        <w:tc>
          <w:tcPr>
            <w:tcW w:w="2835" w:type="dxa"/>
            <w:shd w:val="clear" w:color="auto" w:fill="auto"/>
            <w:hideMark/>
          </w:tcPr>
          <w:p w14:paraId="225739AC" w14:textId="09BD8197" w:rsidR="000D423D" w:rsidRPr="00146907" w:rsidRDefault="000D423D" w:rsidP="00E82448">
            <w:pPr>
              <w:autoSpaceDE/>
              <w:autoSpaceDN/>
              <w:rPr>
                <w:lang w:eastAsia="et-EE"/>
              </w:rPr>
            </w:pPr>
            <w:r w:rsidRPr="00824263">
              <w:rPr>
                <w:lang w:eastAsia="et-EE"/>
              </w:rPr>
              <w:t>Päikese-, vee- ja tuuleenergia</w:t>
            </w:r>
            <w:r w:rsidR="00E82448" w:rsidRPr="00824263">
              <w:rPr>
                <w:lang w:eastAsia="et-EE"/>
              </w:rPr>
              <w:t>st</w:t>
            </w:r>
            <w:r w:rsidRPr="00146907">
              <w:rPr>
                <w:lang w:eastAsia="et-EE"/>
              </w:rPr>
              <w:t xml:space="preserve"> </w:t>
            </w:r>
            <w:r w:rsidR="00146907" w:rsidRPr="00146907">
              <w:rPr>
                <w:lang w:eastAsia="et-EE"/>
              </w:rPr>
              <w:t xml:space="preserve">elektri </w:t>
            </w:r>
            <w:r w:rsidRPr="00146907">
              <w:rPr>
                <w:lang w:eastAsia="et-EE"/>
              </w:rPr>
              <w:t>tootmine</w:t>
            </w:r>
          </w:p>
        </w:tc>
        <w:tc>
          <w:tcPr>
            <w:tcW w:w="7371" w:type="dxa"/>
            <w:shd w:val="clear" w:color="auto" w:fill="auto"/>
            <w:vAlign w:val="center"/>
            <w:hideMark/>
          </w:tcPr>
          <w:p w14:paraId="074C49F0" w14:textId="0A5F4BD6" w:rsidR="000D423D" w:rsidRPr="00F21B5D" w:rsidRDefault="000D423D" w:rsidP="00A733B7">
            <w:pPr>
              <w:autoSpaceDE/>
              <w:autoSpaceDN/>
              <w:jc w:val="both"/>
              <w:rPr>
                <w:lang w:eastAsia="et-EE"/>
              </w:rPr>
            </w:pPr>
            <w:r w:rsidRPr="00F21B5D">
              <w:rPr>
                <w:lang w:eastAsia="et-EE"/>
              </w:rPr>
              <w:t xml:space="preserve">Kogu investeeringust </w:t>
            </w:r>
            <w:r w:rsidR="00EC7A18" w:rsidRPr="00F21B5D">
              <w:rPr>
                <w:lang w:eastAsia="et-EE"/>
              </w:rPr>
              <w:t>üle</w:t>
            </w:r>
            <w:r w:rsidR="006F5F5F" w:rsidRPr="00F21B5D">
              <w:rPr>
                <w:lang w:eastAsia="et-EE"/>
              </w:rPr>
              <w:t xml:space="preserve"> </w:t>
            </w:r>
            <w:r w:rsidR="00441C65" w:rsidRPr="00F21B5D">
              <w:rPr>
                <w:lang w:eastAsia="et-EE"/>
              </w:rPr>
              <w:t>5</w:t>
            </w:r>
            <w:r w:rsidRPr="00F21B5D">
              <w:rPr>
                <w:lang w:eastAsia="et-EE"/>
              </w:rPr>
              <w:t>0,00% moodustab investeering päikese-, vee- või tuuleenergia</w:t>
            </w:r>
            <w:r w:rsidR="00146907" w:rsidRPr="00F21B5D">
              <w:rPr>
                <w:lang w:eastAsia="et-EE"/>
              </w:rPr>
              <w:t>st elektri</w:t>
            </w:r>
            <w:r w:rsidRPr="00F21B5D">
              <w:rPr>
                <w:lang w:eastAsia="et-EE"/>
              </w:rPr>
              <w:t xml:space="preserve"> tootmise</w:t>
            </w:r>
            <w:r w:rsidR="00E57D5E" w:rsidRPr="00F21B5D">
              <w:rPr>
                <w:lang w:eastAsia="et-EE"/>
              </w:rPr>
              <w:t>sse</w:t>
            </w:r>
          </w:p>
        </w:tc>
        <w:tc>
          <w:tcPr>
            <w:tcW w:w="992" w:type="dxa"/>
            <w:shd w:val="clear" w:color="auto" w:fill="auto"/>
            <w:vAlign w:val="center"/>
            <w:hideMark/>
          </w:tcPr>
          <w:p w14:paraId="14BD367C" w14:textId="77777777" w:rsidR="000D423D" w:rsidRPr="003D55F7" w:rsidRDefault="00441C65" w:rsidP="00A733B7">
            <w:pPr>
              <w:autoSpaceDE/>
              <w:autoSpaceDN/>
              <w:jc w:val="center"/>
              <w:rPr>
                <w:b/>
                <w:bCs/>
                <w:lang w:eastAsia="et-EE"/>
              </w:rPr>
            </w:pPr>
            <w:r w:rsidRPr="003D55F7">
              <w:rPr>
                <w:b/>
                <w:bCs/>
                <w:lang w:eastAsia="et-EE"/>
              </w:rPr>
              <w:t>1</w:t>
            </w:r>
          </w:p>
        </w:tc>
      </w:tr>
      <w:tr w:rsidR="00A85A83" w:rsidRPr="00F1775E" w14:paraId="3C1234AF" w14:textId="77777777" w:rsidTr="008F05F8">
        <w:trPr>
          <w:trHeight w:val="63"/>
        </w:trPr>
        <w:tc>
          <w:tcPr>
            <w:tcW w:w="851" w:type="dxa"/>
            <w:vMerge w:val="restart"/>
            <w:shd w:val="clear" w:color="auto" w:fill="auto"/>
            <w:vAlign w:val="center"/>
            <w:hideMark/>
          </w:tcPr>
          <w:p w14:paraId="0949D823" w14:textId="77777777" w:rsidR="00A85A83" w:rsidRPr="00EC7A18" w:rsidRDefault="00A85A83" w:rsidP="00162496">
            <w:pPr>
              <w:autoSpaceDE/>
              <w:autoSpaceDN/>
              <w:jc w:val="center"/>
              <w:rPr>
                <w:b/>
                <w:bCs/>
                <w:sz w:val="40"/>
                <w:szCs w:val="40"/>
                <w:lang w:eastAsia="et-EE"/>
              </w:rPr>
            </w:pPr>
            <w:r w:rsidRPr="00EC7A18">
              <w:rPr>
                <w:b/>
                <w:bCs/>
                <w:sz w:val="40"/>
                <w:szCs w:val="40"/>
                <w:lang w:eastAsia="et-EE"/>
              </w:rPr>
              <w:t>11</w:t>
            </w:r>
          </w:p>
        </w:tc>
        <w:tc>
          <w:tcPr>
            <w:tcW w:w="709" w:type="dxa"/>
            <w:shd w:val="clear" w:color="auto" w:fill="auto"/>
            <w:noWrap/>
            <w:vAlign w:val="center"/>
            <w:hideMark/>
          </w:tcPr>
          <w:p w14:paraId="70F57E58" w14:textId="02F5DEE9" w:rsidR="00A85A83" w:rsidRPr="004A3EA0" w:rsidRDefault="00A85A83">
            <w:pPr>
              <w:autoSpaceDE/>
              <w:autoSpaceDN/>
              <w:jc w:val="center"/>
              <w:rPr>
                <w:b/>
                <w:bCs/>
                <w:lang w:eastAsia="et-EE"/>
              </w:rPr>
            </w:pPr>
            <w:r w:rsidRPr="004A3EA0">
              <w:rPr>
                <w:b/>
                <w:bCs/>
                <w:lang w:eastAsia="et-EE"/>
              </w:rPr>
              <w:t>24</w:t>
            </w:r>
          </w:p>
        </w:tc>
        <w:tc>
          <w:tcPr>
            <w:tcW w:w="1418" w:type="dxa"/>
            <w:vMerge w:val="restart"/>
            <w:shd w:val="clear" w:color="auto" w:fill="DBE5F1" w:themeFill="accent1" w:themeFillTint="33"/>
            <w:vAlign w:val="center"/>
            <w:hideMark/>
          </w:tcPr>
          <w:p w14:paraId="23A7B3DF" w14:textId="77777777" w:rsidR="00A85A83" w:rsidRPr="004A3EA0" w:rsidRDefault="00A85A83" w:rsidP="00D45B70">
            <w:pPr>
              <w:autoSpaceDE/>
              <w:autoSpaceDN/>
              <w:jc w:val="center"/>
              <w:rPr>
                <w:b/>
                <w:bCs/>
                <w:lang w:eastAsia="et-EE"/>
              </w:rPr>
            </w:pPr>
            <w:r w:rsidRPr="004A3EA0">
              <w:rPr>
                <w:b/>
                <w:bCs/>
                <w:lang w:eastAsia="et-EE"/>
              </w:rPr>
              <w:t>Majandus</w:t>
            </w:r>
          </w:p>
        </w:tc>
        <w:tc>
          <w:tcPr>
            <w:tcW w:w="2835" w:type="dxa"/>
            <w:vMerge w:val="restart"/>
            <w:shd w:val="clear" w:color="auto" w:fill="auto"/>
            <w:vAlign w:val="center"/>
            <w:hideMark/>
          </w:tcPr>
          <w:p w14:paraId="73AC2D94" w14:textId="1DAD14B0" w:rsidR="00A85A83" w:rsidRPr="00B310BF" w:rsidRDefault="00A85A83" w:rsidP="00AA6F7F">
            <w:pPr>
              <w:autoSpaceDE/>
              <w:autoSpaceDN/>
              <w:rPr>
                <w:lang w:eastAsia="et-EE"/>
              </w:rPr>
            </w:pPr>
            <w:r w:rsidRPr="00B310BF">
              <w:rPr>
                <w:lang w:eastAsia="et-EE"/>
              </w:rPr>
              <w:t>Ettevõtja, kelle investeeringu maksumuse ja müügitulu suhe tagab toetuse ergutava mõju</w:t>
            </w:r>
          </w:p>
        </w:tc>
        <w:tc>
          <w:tcPr>
            <w:tcW w:w="7371" w:type="dxa"/>
            <w:shd w:val="clear" w:color="auto" w:fill="auto"/>
            <w:vAlign w:val="center"/>
            <w:hideMark/>
          </w:tcPr>
          <w:p w14:paraId="2F5D701E" w14:textId="77777777" w:rsidR="00A85A83" w:rsidRPr="00F21B5D" w:rsidRDefault="00A85A83" w:rsidP="00121930">
            <w:pPr>
              <w:autoSpaceDE/>
              <w:autoSpaceDN/>
              <w:jc w:val="both"/>
              <w:rPr>
                <w:lang w:eastAsia="et-EE"/>
              </w:rPr>
            </w:pPr>
            <w:r w:rsidRPr="00F21B5D">
              <w:rPr>
                <w:lang w:eastAsia="et-EE"/>
              </w:rPr>
              <w:t>Kogu investeering moodustab 25,00–50,99% ettevõtja taotluse esitamisele vahetult eelnenud majandusaasta müügitulust</w:t>
            </w:r>
          </w:p>
        </w:tc>
        <w:tc>
          <w:tcPr>
            <w:tcW w:w="992" w:type="dxa"/>
            <w:shd w:val="clear" w:color="auto" w:fill="auto"/>
            <w:noWrap/>
            <w:vAlign w:val="center"/>
            <w:hideMark/>
          </w:tcPr>
          <w:p w14:paraId="2EA2F15C" w14:textId="77777777" w:rsidR="00A85A83" w:rsidRPr="003D55F7" w:rsidRDefault="00A85A83" w:rsidP="00162496">
            <w:pPr>
              <w:autoSpaceDE/>
              <w:autoSpaceDN/>
              <w:jc w:val="center"/>
              <w:rPr>
                <w:b/>
                <w:bCs/>
                <w:lang w:eastAsia="et-EE"/>
              </w:rPr>
            </w:pPr>
            <w:r w:rsidRPr="003D55F7">
              <w:rPr>
                <w:b/>
                <w:bCs/>
                <w:lang w:eastAsia="et-EE"/>
              </w:rPr>
              <w:t>4</w:t>
            </w:r>
          </w:p>
        </w:tc>
      </w:tr>
      <w:tr w:rsidR="00A85A83" w:rsidRPr="00F1775E" w14:paraId="0D728A3D" w14:textId="77777777" w:rsidTr="008F05F8">
        <w:trPr>
          <w:trHeight w:val="332"/>
        </w:trPr>
        <w:tc>
          <w:tcPr>
            <w:tcW w:w="851" w:type="dxa"/>
            <w:vMerge/>
            <w:shd w:val="clear" w:color="auto" w:fill="auto"/>
            <w:vAlign w:val="center"/>
            <w:hideMark/>
          </w:tcPr>
          <w:p w14:paraId="217BE462" w14:textId="77777777" w:rsidR="00A85A83" w:rsidRPr="00AA6F7F" w:rsidRDefault="00A85A83" w:rsidP="00162496">
            <w:pPr>
              <w:autoSpaceDE/>
              <w:autoSpaceDN/>
              <w:rPr>
                <w:b/>
                <w:bCs/>
                <w:sz w:val="48"/>
                <w:szCs w:val="48"/>
                <w:lang w:eastAsia="et-EE"/>
              </w:rPr>
            </w:pPr>
          </w:p>
        </w:tc>
        <w:tc>
          <w:tcPr>
            <w:tcW w:w="709" w:type="dxa"/>
            <w:shd w:val="clear" w:color="auto" w:fill="auto"/>
            <w:noWrap/>
            <w:vAlign w:val="center"/>
            <w:hideMark/>
          </w:tcPr>
          <w:p w14:paraId="28F55008" w14:textId="46CEE369" w:rsidR="00A85A83" w:rsidRPr="004A3EA0" w:rsidRDefault="00A85A83">
            <w:pPr>
              <w:autoSpaceDE/>
              <w:autoSpaceDN/>
              <w:jc w:val="center"/>
              <w:rPr>
                <w:b/>
                <w:bCs/>
                <w:lang w:eastAsia="et-EE"/>
              </w:rPr>
            </w:pPr>
            <w:r w:rsidRPr="004A3EA0">
              <w:rPr>
                <w:b/>
                <w:bCs/>
                <w:lang w:eastAsia="et-EE"/>
              </w:rPr>
              <w:t>25</w:t>
            </w:r>
          </w:p>
        </w:tc>
        <w:tc>
          <w:tcPr>
            <w:tcW w:w="1418" w:type="dxa"/>
            <w:vMerge/>
            <w:shd w:val="clear" w:color="auto" w:fill="DBE5F1" w:themeFill="accent1" w:themeFillTint="33"/>
            <w:vAlign w:val="center"/>
            <w:hideMark/>
          </w:tcPr>
          <w:p w14:paraId="660C00DF" w14:textId="77777777" w:rsidR="00A85A83" w:rsidRPr="00A733B7" w:rsidRDefault="00A85A83" w:rsidP="00162496">
            <w:pPr>
              <w:autoSpaceDE/>
              <w:autoSpaceDN/>
              <w:rPr>
                <w:bCs/>
                <w:lang w:eastAsia="et-EE"/>
              </w:rPr>
            </w:pPr>
          </w:p>
        </w:tc>
        <w:tc>
          <w:tcPr>
            <w:tcW w:w="2835" w:type="dxa"/>
            <w:vMerge/>
            <w:shd w:val="clear" w:color="auto" w:fill="auto"/>
            <w:vAlign w:val="center"/>
            <w:hideMark/>
          </w:tcPr>
          <w:p w14:paraId="758A4D2A" w14:textId="77777777" w:rsidR="00A85A83" w:rsidRPr="00B310BF" w:rsidRDefault="00A85A83" w:rsidP="00162496">
            <w:pPr>
              <w:autoSpaceDE/>
              <w:autoSpaceDN/>
              <w:rPr>
                <w:lang w:eastAsia="et-EE"/>
              </w:rPr>
            </w:pPr>
          </w:p>
        </w:tc>
        <w:tc>
          <w:tcPr>
            <w:tcW w:w="7371" w:type="dxa"/>
            <w:shd w:val="clear" w:color="auto" w:fill="auto"/>
            <w:vAlign w:val="center"/>
            <w:hideMark/>
          </w:tcPr>
          <w:p w14:paraId="55BF4283" w14:textId="77777777" w:rsidR="00A85A83" w:rsidRPr="00F21B5D" w:rsidRDefault="00A85A83" w:rsidP="00121930">
            <w:pPr>
              <w:autoSpaceDE/>
              <w:autoSpaceDN/>
              <w:jc w:val="both"/>
              <w:rPr>
                <w:lang w:eastAsia="et-EE"/>
              </w:rPr>
            </w:pPr>
            <w:r w:rsidRPr="00F21B5D">
              <w:rPr>
                <w:lang w:eastAsia="et-EE"/>
              </w:rPr>
              <w:t>Kogu investeering moodustab 51,00–100,99% ettevõtja taotluse esitamisele vahetult eelnenud majandusaasta müügitulust</w:t>
            </w:r>
          </w:p>
        </w:tc>
        <w:tc>
          <w:tcPr>
            <w:tcW w:w="992" w:type="dxa"/>
            <w:shd w:val="clear" w:color="auto" w:fill="auto"/>
            <w:noWrap/>
            <w:vAlign w:val="center"/>
            <w:hideMark/>
          </w:tcPr>
          <w:p w14:paraId="256777FA" w14:textId="77777777" w:rsidR="00A85A83" w:rsidRPr="003D55F7" w:rsidRDefault="00A85A83" w:rsidP="00162496">
            <w:pPr>
              <w:autoSpaceDE/>
              <w:autoSpaceDN/>
              <w:jc w:val="center"/>
              <w:rPr>
                <w:b/>
                <w:bCs/>
                <w:lang w:eastAsia="et-EE"/>
              </w:rPr>
            </w:pPr>
            <w:r w:rsidRPr="003D55F7">
              <w:rPr>
                <w:b/>
                <w:bCs/>
                <w:lang w:eastAsia="et-EE"/>
              </w:rPr>
              <w:t>6</w:t>
            </w:r>
          </w:p>
        </w:tc>
      </w:tr>
      <w:tr w:rsidR="00A85A83" w:rsidRPr="00F1775E" w14:paraId="2E06A278" w14:textId="77777777" w:rsidTr="008F05F8">
        <w:trPr>
          <w:trHeight w:val="199"/>
        </w:trPr>
        <w:tc>
          <w:tcPr>
            <w:tcW w:w="851" w:type="dxa"/>
            <w:vMerge/>
            <w:shd w:val="clear" w:color="auto" w:fill="auto"/>
            <w:vAlign w:val="center"/>
            <w:hideMark/>
          </w:tcPr>
          <w:p w14:paraId="7E2E0685" w14:textId="77777777" w:rsidR="00A85A83" w:rsidRPr="00AA6F7F" w:rsidRDefault="00A85A83" w:rsidP="00162496">
            <w:pPr>
              <w:autoSpaceDE/>
              <w:autoSpaceDN/>
              <w:rPr>
                <w:b/>
                <w:bCs/>
                <w:sz w:val="48"/>
                <w:szCs w:val="48"/>
                <w:lang w:eastAsia="et-EE"/>
              </w:rPr>
            </w:pPr>
          </w:p>
        </w:tc>
        <w:tc>
          <w:tcPr>
            <w:tcW w:w="709" w:type="dxa"/>
            <w:shd w:val="clear" w:color="auto" w:fill="auto"/>
            <w:noWrap/>
            <w:vAlign w:val="center"/>
            <w:hideMark/>
          </w:tcPr>
          <w:p w14:paraId="46BD1DA4" w14:textId="09F71528" w:rsidR="00A85A83" w:rsidRPr="004A3EA0" w:rsidRDefault="00A85A83" w:rsidP="00162496">
            <w:pPr>
              <w:autoSpaceDE/>
              <w:autoSpaceDN/>
              <w:jc w:val="center"/>
              <w:rPr>
                <w:b/>
                <w:bCs/>
                <w:lang w:eastAsia="et-EE"/>
              </w:rPr>
            </w:pPr>
            <w:r w:rsidRPr="004A3EA0">
              <w:rPr>
                <w:b/>
                <w:bCs/>
                <w:lang w:eastAsia="et-EE"/>
              </w:rPr>
              <w:t>26</w:t>
            </w:r>
          </w:p>
        </w:tc>
        <w:tc>
          <w:tcPr>
            <w:tcW w:w="1418" w:type="dxa"/>
            <w:vMerge/>
            <w:shd w:val="clear" w:color="auto" w:fill="DBE5F1" w:themeFill="accent1" w:themeFillTint="33"/>
            <w:vAlign w:val="center"/>
            <w:hideMark/>
          </w:tcPr>
          <w:p w14:paraId="60270A32" w14:textId="77777777" w:rsidR="00A85A83" w:rsidRPr="00A733B7" w:rsidRDefault="00A85A83" w:rsidP="00162496">
            <w:pPr>
              <w:autoSpaceDE/>
              <w:autoSpaceDN/>
              <w:rPr>
                <w:bCs/>
                <w:lang w:eastAsia="et-EE"/>
              </w:rPr>
            </w:pPr>
          </w:p>
        </w:tc>
        <w:tc>
          <w:tcPr>
            <w:tcW w:w="2835" w:type="dxa"/>
            <w:vMerge/>
            <w:shd w:val="clear" w:color="auto" w:fill="auto"/>
            <w:vAlign w:val="center"/>
            <w:hideMark/>
          </w:tcPr>
          <w:p w14:paraId="54BF1666" w14:textId="77777777" w:rsidR="00A85A83" w:rsidRPr="00B310BF" w:rsidRDefault="00A85A83" w:rsidP="00162496">
            <w:pPr>
              <w:autoSpaceDE/>
              <w:autoSpaceDN/>
              <w:rPr>
                <w:lang w:eastAsia="et-EE"/>
              </w:rPr>
            </w:pPr>
          </w:p>
        </w:tc>
        <w:tc>
          <w:tcPr>
            <w:tcW w:w="7371" w:type="dxa"/>
            <w:shd w:val="clear" w:color="auto" w:fill="auto"/>
            <w:vAlign w:val="center"/>
            <w:hideMark/>
          </w:tcPr>
          <w:p w14:paraId="41CB3905" w14:textId="77777777" w:rsidR="00A85A83" w:rsidRPr="00F21B5D" w:rsidRDefault="00A85A83" w:rsidP="00121930">
            <w:pPr>
              <w:autoSpaceDE/>
              <w:autoSpaceDN/>
              <w:jc w:val="both"/>
              <w:rPr>
                <w:lang w:eastAsia="et-EE"/>
              </w:rPr>
            </w:pPr>
            <w:r w:rsidRPr="00F21B5D">
              <w:rPr>
                <w:lang w:eastAsia="et-EE"/>
              </w:rPr>
              <w:t>Kogu investeering moodustab 101,00–150,99% ettevõtja taotluse esitamisele vahetult eelnenud majandusaasta müügitulust</w:t>
            </w:r>
          </w:p>
        </w:tc>
        <w:tc>
          <w:tcPr>
            <w:tcW w:w="992" w:type="dxa"/>
            <w:shd w:val="clear" w:color="auto" w:fill="auto"/>
            <w:noWrap/>
            <w:vAlign w:val="center"/>
            <w:hideMark/>
          </w:tcPr>
          <w:p w14:paraId="2C575939" w14:textId="77777777" w:rsidR="00A85A83" w:rsidRPr="004A3EA0" w:rsidRDefault="00A85A83" w:rsidP="00162496">
            <w:pPr>
              <w:autoSpaceDE/>
              <w:autoSpaceDN/>
              <w:jc w:val="center"/>
              <w:rPr>
                <w:b/>
                <w:bCs/>
                <w:lang w:eastAsia="et-EE"/>
              </w:rPr>
            </w:pPr>
            <w:r w:rsidRPr="004A3EA0">
              <w:rPr>
                <w:b/>
                <w:bCs/>
                <w:lang w:eastAsia="et-EE"/>
              </w:rPr>
              <w:t>8</w:t>
            </w:r>
          </w:p>
        </w:tc>
      </w:tr>
      <w:tr w:rsidR="00A85A83" w:rsidRPr="00F1775E" w14:paraId="16E38DA7" w14:textId="77777777" w:rsidTr="008F05F8">
        <w:trPr>
          <w:trHeight w:val="207"/>
        </w:trPr>
        <w:tc>
          <w:tcPr>
            <w:tcW w:w="851" w:type="dxa"/>
            <w:vMerge/>
            <w:shd w:val="clear" w:color="auto" w:fill="auto"/>
            <w:vAlign w:val="center"/>
            <w:hideMark/>
          </w:tcPr>
          <w:p w14:paraId="4F93A95D" w14:textId="77777777" w:rsidR="00A85A83" w:rsidRPr="00AA6F7F" w:rsidRDefault="00A85A83" w:rsidP="00162496">
            <w:pPr>
              <w:autoSpaceDE/>
              <w:autoSpaceDN/>
              <w:rPr>
                <w:b/>
                <w:bCs/>
                <w:sz w:val="48"/>
                <w:szCs w:val="48"/>
                <w:lang w:eastAsia="et-EE"/>
              </w:rPr>
            </w:pPr>
          </w:p>
        </w:tc>
        <w:tc>
          <w:tcPr>
            <w:tcW w:w="709" w:type="dxa"/>
            <w:shd w:val="clear" w:color="auto" w:fill="auto"/>
            <w:noWrap/>
            <w:vAlign w:val="center"/>
            <w:hideMark/>
          </w:tcPr>
          <w:p w14:paraId="6ED53178" w14:textId="1D62E0D1" w:rsidR="00A85A83" w:rsidRPr="004A3EA0" w:rsidRDefault="00A85A83">
            <w:pPr>
              <w:autoSpaceDE/>
              <w:autoSpaceDN/>
              <w:jc w:val="center"/>
              <w:rPr>
                <w:b/>
                <w:bCs/>
                <w:lang w:eastAsia="et-EE"/>
              </w:rPr>
            </w:pPr>
            <w:r w:rsidRPr="004A3EA0">
              <w:rPr>
                <w:b/>
                <w:bCs/>
                <w:lang w:eastAsia="et-EE"/>
              </w:rPr>
              <w:t>27</w:t>
            </w:r>
          </w:p>
        </w:tc>
        <w:tc>
          <w:tcPr>
            <w:tcW w:w="1418" w:type="dxa"/>
            <w:vMerge/>
            <w:shd w:val="clear" w:color="auto" w:fill="DBE5F1" w:themeFill="accent1" w:themeFillTint="33"/>
            <w:vAlign w:val="center"/>
            <w:hideMark/>
          </w:tcPr>
          <w:p w14:paraId="03D7BCE3" w14:textId="77777777" w:rsidR="00A85A83" w:rsidRPr="00A733B7" w:rsidRDefault="00A85A83" w:rsidP="00162496">
            <w:pPr>
              <w:autoSpaceDE/>
              <w:autoSpaceDN/>
              <w:rPr>
                <w:bCs/>
                <w:lang w:eastAsia="et-EE"/>
              </w:rPr>
            </w:pPr>
          </w:p>
        </w:tc>
        <w:tc>
          <w:tcPr>
            <w:tcW w:w="2835" w:type="dxa"/>
            <w:vMerge/>
            <w:shd w:val="clear" w:color="auto" w:fill="auto"/>
            <w:vAlign w:val="center"/>
            <w:hideMark/>
          </w:tcPr>
          <w:p w14:paraId="06760059" w14:textId="77777777" w:rsidR="00A85A83" w:rsidRPr="00B310BF" w:rsidRDefault="00A85A83" w:rsidP="00162496">
            <w:pPr>
              <w:autoSpaceDE/>
              <w:autoSpaceDN/>
              <w:rPr>
                <w:lang w:eastAsia="et-EE"/>
              </w:rPr>
            </w:pPr>
          </w:p>
        </w:tc>
        <w:tc>
          <w:tcPr>
            <w:tcW w:w="7371" w:type="dxa"/>
            <w:shd w:val="clear" w:color="auto" w:fill="auto"/>
            <w:vAlign w:val="center"/>
            <w:hideMark/>
          </w:tcPr>
          <w:p w14:paraId="77F80C6D" w14:textId="77777777" w:rsidR="00A85A83" w:rsidRPr="00F21B5D" w:rsidRDefault="00A85A83" w:rsidP="00121930">
            <w:pPr>
              <w:autoSpaceDE/>
              <w:autoSpaceDN/>
              <w:jc w:val="both"/>
              <w:rPr>
                <w:lang w:eastAsia="et-EE"/>
              </w:rPr>
            </w:pPr>
            <w:r w:rsidRPr="00F21B5D">
              <w:rPr>
                <w:lang w:eastAsia="et-EE"/>
              </w:rPr>
              <w:t>Kogu investeering moodustab 151,00–200,99% ettevõtja taotluse esitamisele vahetult eelnenud majandusaasta müügitulust</w:t>
            </w:r>
          </w:p>
        </w:tc>
        <w:tc>
          <w:tcPr>
            <w:tcW w:w="992" w:type="dxa"/>
            <w:shd w:val="clear" w:color="auto" w:fill="auto"/>
            <w:noWrap/>
            <w:vAlign w:val="center"/>
            <w:hideMark/>
          </w:tcPr>
          <w:p w14:paraId="0201B759" w14:textId="77777777" w:rsidR="00A85A83" w:rsidRPr="004A3EA0" w:rsidRDefault="00A85A83" w:rsidP="00162496">
            <w:pPr>
              <w:autoSpaceDE/>
              <w:autoSpaceDN/>
              <w:jc w:val="center"/>
              <w:rPr>
                <w:b/>
                <w:bCs/>
                <w:lang w:eastAsia="et-EE"/>
              </w:rPr>
            </w:pPr>
            <w:r w:rsidRPr="004A3EA0">
              <w:rPr>
                <w:b/>
                <w:bCs/>
                <w:lang w:eastAsia="et-EE"/>
              </w:rPr>
              <w:t>10</w:t>
            </w:r>
          </w:p>
        </w:tc>
      </w:tr>
      <w:tr w:rsidR="00A85A83" w:rsidRPr="00F1775E" w14:paraId="6AF1E496" w14:textId="77777777" w:rsidTr="008F05F8">
        <w:trPr>
          <w:trHeight w:val="214"/>
        </w:trPr>
        <w:tc>
          <w:tcPr>
            <w:tcW w:w="851" w:type="dxa"/>
            <w:vMerge/>
            <w:shd w:val="clear" w:color="auto" w:fill="auto"/>
            <w:vAlign w:val="center"/>
            <w:hideMark/>
          </w:tcPr>
          <w:p w14:paraId="32BDFB9D" w14:textId="77777777" w:rsidR="00A85A83" w:rsidRPr="00AA6F7F" w:rsidRDefault="00A85A83" w:rsidP="00162496">
            <w:pPr>
              <w:autoSpaceDE/>
              <w:autoSpaceDN/>
              <w:rPr>
                <w:b/>
                <w:bCs/>
                <w:sz w:val="48"/>
                <w:szCs w:val="48"/>
                <w:lang w:eastAsia="et-EE"/>
              </w:rPr>
            </w:pPr>
          </w:p>
        </w:tc>
        <w:tc>
          <w:tcPr>
            <w:tcW w:w="709" w:type="dxa"/>
            <w:shd w:val="clear" w:color="auto" w:fill="auto"/>
            <w:noWrap/>
            <w:vAlign w:val="center"/>
            <w:hideMark/>
          </w:tcPr>
          <w:p w14:paraId="3D6A8C81" w14:textId="393AFFA7" w:rsidR="00A85A83" w:rsidRPr="004A3EA0" w:rsidRDefault="00A85A83">
            <w:pPr>
              <w:autoSpaceDE/>
              <w:autoSpaceDN/>
              <w:jc w:val="center"/>
              <w:rPr>
                <w:b/>
                <w:bCs/>
                <w:lang w:eastAsia="et-EE"/>
              </w:rPr>
            </w:pPr>
            <w:r w:rsidRPr="004A3EA0">
              <w:rPr>
                <w:b/>
                <w:bCs/>
                <w:lang w:eastAsia="et-EE"/>
              </w:rPr>
              <w:t>28</w:t>
            </w:r>
          </w:p>
        </w:tc>
        <w:tc>
          <w:tcPr>
            <w:tcW w:w="1418" w:type="dxa"/>
            <w:vMerge/>
            <w:shd w:val="clear" w:color="auto" w:fill="DBE5F1" w:themeFill="accent1" w:themeFillTint="33"/>
            <w:vAlign w:val="center"/>
            <w:hideMark/>
          </w:tcPr>
          <w:p w14:paraId="3B9CFBDE" w14:textId="77777777" w:rsidR="00A85A83" w:rsidRPr="00A733B7" w:rsidRDefault="00A85A83" w:rsidP="00162496">
            <w:pPr>
              <w:autoSpaceDE/>
              <w:autoSpaceDN/>
              <w:rPr>
                <w:bCs/>
                <w:lang w:eastAsia="et-EE"/>
              </w:rPr>
            </w:pPr>
          </w:p>
        </w:tc>
        <w:tc>
          <w:tcPr>
            <w:tcW w:w="2835" w:type="dxa"/>
            <w:vMerge/>
            <w:shd w:val="clear" w:color="auto" w:fill="auto"/>
            <w:vAlign w:val="center"/>
            <w:hideMark/>
          </w:tcPr>
          <w:p w14:paraId="107746AC" w14:textId="77777777" w:rsidR="00A85A83" w:rsidRPr="00B310BF" w:rsidRDefault="00A85A83" w:rsidP="00162496">
            <w:pPr>
              <w:autoSpaceDE/>
              <w:autoSpaceDN/>
              <w:rPr>
                <w:lang w:eastAsia="et-EE"/>
              </w:rPr>
            </w:pPr>
          </w:p>
        </w:tc>
        <w:tc>
          <w:tcPr>
            <w:tcW w:w="7371" w:type="dxa"/>
            <w:shd w:val="clear" w:color="auto" w:fill="auto"/>
            <w:vAlign w:val="center"/>
            <w:hideMark/>
          </w:tcPr>
          <w:p w14:paraId="4ADEF1DA" w14:textId="77777777" w:rsidR="00A85A83" w:rsidRPr="00F21B5D" w:rsidRDefault="00A85A83" w:rsidP="00121930">
            <w:pPr>
              <w:autoSpaceDE/>
              <w:autoSpaceDN/>
              <w:jc w:val="both"/>
              <w:rPr>
                <w:lang w:eastAsia="et-EE"/>
              </w:rPr>
            </w:pPr>
            <w:r w:rsidRPr="00F21B5D">
              <w:rPr>
                <w:lang w:eastAsia="et-EE"/>
              </w:rPr>
              <w:t>Kogu investeering moodustab 201,00–250,99% ettevõtja taotluse esitamisele vahetult eelnenud majandusaasta müügitulust</w:t>
            </w:r>
          </w:p>
        </w:tc>
        <w:tc>
          <w:tcPr>
            <w:tcW w:w="992" w:type="dxa"/>
            <w:shd w:val="clear" w:color="auto" w:fill="auto"/>
            <w:noWrap/>
            <w:vAlign w:val="center"/>
            <w:hideMark/>
          </w:tcPr>
          <w:p w14:paraId="65F108F7" w14:textId="77777777" w:rsidR="00A85A83" w:rsidRPr="004A3EA0" w:rsidRDefault="00A85A83" w:rsidP="00162496">
            <w:pPr>
              <w:autoSpaceDE/>
              <w:autoSpaceDN/>
              <w:jc w:val="center"/>
              <w:rPr>
                <w:b/>
                <w:bCs/>
                <w:lang w:eastAsia="et-EE"/>
              </w:rPr>
            </w:pPr>
            <w:r w:rsidRPr="004A3EA0">
              <w:rPr>
                <w:b/>
                <w:bCs/>
                <w:lang w:eastAsia="et-EE"/>
              </w:rPr>
              <w:t>8</w:t>
            </w:r>
          </w:p>
        </w:tc>
      </w:tr>
      <w:tr w:rsidR="00A85A83" w:rsidRPr="00F1775E" w14:paraId="4A17168C" w14:textId="77777777" w:rsidTr="008F05F8">
        <w:trPr>
          <w:trHeight w:val="63"/>
        </w:trPr>
        <w:tc>
          <w:tcPr>
            <w:tcW w:w="851" w:type="dxa"/>
            <w:vMerge/>
            <w:shd w:val="clear" w:color="auto" w:fill="auto"/>
            <w:vAlign w:val="center"/>
            <w:hideMark/>
          </w:tcPr>
          <w:p w14:paraId="5CDB4E2B" w14:textId="77777777" w:rsidR="00A85A83" w:rsidRPr="00AA6F7F" w:rsidRDefault="00A85A83" w:rsidP="00162496">
            <w:pPr>
              <w:autoSpaceDE/>
              <w:autoSpaceDN/>
              <w:rPr>
                <w:b/>
                <w:bCs/>
                <w:sz w:val="48"/>
                <w:szCs w:val="48"/>
                <w:lang w:eastAsia="et-EE"/>
              </w:rPr>
            </w:pPr>
          </w:p>
        </w:tc>
        <w:tc>
          <w:tcPr>
            <w:tcW w:w="709" w:type="dxa"/>
            <w:shd w:val="clear" w:color="auto" w:fill="auto"/>
            <w:noWrap/>
            <w:vAlign w:val="center"/>
            <w:hideMark/>
          </w:tcPr>
          <w:p w14:paraId="6452B53D" w14:textId="5641DDB1" w:rsidR="00A85A83" w:rsidRPr="004A3EA0" w:rsidRDefault="00A85A83">
            <w:pPr>
              <w:autoSpaceDE/>
              <w:autoSpaceDN/>
              <w:jc w:val="center"/>
              <w:rPr>
                <w:b/>
                <w:bCs/>
                <w:lang w:eastAsia="et-EE"/>
              </w:rPr>
            </w:pPr>
            <w:r w:rsidRPr="004A3EA0">
              <w:rPr>
                <w:b/>
                <w:bCs/>
                <w:lang w:eastAsia="et-EE"/>
              </w:rPr>
              <w:t>29</w:t>
            </w:r>
          </w:p>
        </w:tc>
        <w:tc>
          <w:tcPr>
            <w:tcW w:w="1418" w:type="dxa"/>
            <w:vMerge/>
            <w:shd w:val="clear" w:color="auto" w:fill="DBE5F1" w:themeFill="accent1" w:themeFillTint="33"/>
            <w:vAlign w:val="center"/>
            <w:hideMark/>
          </w:tcPr>
          <w:p w14:paraId="53FFDB65" w14:textId="77777777" w:rsidR="00A85A83" w:rsidRPr="00A733B7" w:rsidRDefault="00A85A83" w:rsidP="00162496">
            <w:pPr>
              <w:autoSpaceDE/>
              <w:autoSpaceDN/>
              <w:rPr>
                <w:bCs/>
                <w:lang w:eastAsia="et-EE"/>
              </w:rPr>
            </w:pPr>
          </w:p>
        </w:tc>
        <w:tc>
          <w:tcPr>
            <w:tcW w:w="2835" w:type="dxa"/>
            <w:vMerge/>
            <w:shd w:val="clear" w:color="auto" w:fill="auto"/>
            <w:vAlign w:val="center"/>
            <w:hideMark/>
          </w:tcPr>
          <w:p w14:paraId="1990A3A9" w14:textId="77777777" w:rsidR="00A85A83" w:rsidRPr="00B310BF" w:rsidRDefault="00A85A83" w:rsidP="00162496">
            <w:pPr>
              <w:autoSpaceDE/>
              <w:autoSpaceDN/>
              <w:rPr>
                <w:lang w:eastAsia="et-EE"/>
              </w:rPr>
            </w:pPr>
          </w:p>
        </w:tc>
        <w:tc>
          <w:tcPr>
            <w:tcW w:w="7371" w:type="dxa"/>
            <w:shd w:val="clear" w:color="auto" w:fill="auto"/>
            <w:vAlign w:val="center"/>
            <w:hideMark/>
          </w:tcPr>
          <w:p w14:paraId="5CE3486F" w14:textId="77777777" w:rsidR="00A85A83" w:rsidRPr="00F21B5D" w:rsidRDefault="00A85A83" w:rsidP="00121930">
            <w:pPr>
              <w:autoSpaceDE/>
              <w:autoSpaceDN/>
              <w:jc w:val="both"/>
              <w:rPr>
                <w:lang w:eastAsia="et-EE"/>
              </w:rPr>
            </w:pPr>
            <w:r w:rsidRPr="00F21B5D">
              <w:rPr>
                <w:lang w:eastAsia="et-EE"/>
              </w:rPr>
              <w:t>Kogu investeering moodustab 251,00–300,99% ettevõtja taotluse esitamisele vahetult eelnenud majandusaasta müügitulust</w:t>
            </w:r>
          </w:p>
        </w:tc>
        <w:tc>
          <w:tcPr>
            <w:tcW w:w="992" w:type="dxa"/>
            <w:shd w:val="clear" w:color="auto" w:fill="auto"/>
            <w:noWrap/>
            <w:vAlign w:val="center"/>
            <w:hideMark/>
          </w:tcPr>
          <w:p w14:paraId="165EB374" w14:textId="77777777" w:rsidR="00A85A83" w:rsidRPr="004A3EA0" w:rsidRDefault="00A85A83" w:rsidP="00162496">
            <w:pPr>
              <w:autoSpaceDE/>
              <w:autoSpaceDN/>
              <w:jc w:val="center"/>
              <w:rPr>
                <w:b/>
                <w:bCs/>
                <w:lang w:eastAsia="et-EE"/>
              </w:rPr>
            </w:pPr>
            <w:r w:rsidRPr="004A3EA0">
              <w:rPr>
                <w:b/>
                <w:bCs/>
                <w:lang w:eastAsia="et-EE"/>
              </w:rPr>
              <w:t>6</w:t>
            </w:r>
          </w:p>
        </w:tc>
      </w:tr>
      <w:tr w:rsidR="00A85A83" w:rsidRPr="00F1775E" w14:paraId="6CB49198" w14:textId="77777777" w:rsidTr="00A85A83">
        <w:trPr>
          <w:trHeight w:val="602"/>
        </w:trPr>
        <w:tc>
          <w:tcPr>
            <w:tcW w:w="851" w:type="dxa"/>
            <w:vMerge/>
            <w:shd w:val="clear" w:color="auto" w:fill="auto"/>
            <w:vAlign w:val="center"/>
            <w:hideMark/>
          </w:tcPr>
          <w:p w14:paraId="72C8D58B" w14:textId="77777777" w:rsidR="00A85A83" w:rsidRPr="00AA6F7F" w:rsidRDefault="00A85A83" w:rsidP="00162496">
            <w:pPr>
              <w:autoSpaceDE/>
              <w:autoSpaceDN/>
              <w:rPr>
                <w:b/>
                <w:bCs/>
                <w:sz w:val="48"/>
                <w:szCs w:val="48"/>
                <w:lang w:eastAsia="et-EE"/>
              </w:rPr>
            </w:pPr>
          </w:p>
        </w:tc>
        <w:tc>
          <w:tcPr>
            <w:tcW w:w="709" w:type="dxa"/>
            <w:shd w:val="clear" w:color="auto" w:fill="auto"/>
            <w:noWrap/>
            <w:vAlign w:val="center"/>
            <w:hideMark/>
          </w:tcPr>
          <w:p w14:paraId="1DB529CA" w14:textId="0F1B66F6" w:rsidR="00A85A83" w:rsidRPr="004A3EA0" w:rsidRDefault="00A85A83">
            <w:pPr>
              <w:autoSpaceDE/>
              <w:autoSpaceDN/>
              <w:jc w:val="center"/>
              <w:rPr>
                <w:b/>
                <w:bCs/>
                <w:lang w:eastAsia="et-EE"/>
              </w:rPr>
            </w:pPr>
            <w:r w:rsidRPr="004A3EA0">
              <w:rPr>
                <w:b/>
                <w:bCs/>
                <w:lang w:eastAsia="et-EE"/>
              </w:rPr>
              <w:t>30</w:t>
            </w:r>
          </w:p>
        </w:tc>
        <w:tc>
          <w:tcPr>
            <w:tcW w:w="1418" w:type="dxa"/>
            <w:vMerge/>
            <w:shd w:val="clear" w:color="auto" w:fill="DBE5F1" w:themeFill="accent1" w:themeFillTint="33"/>
            <w:vAlign w:val="center"/>
            <w:hideMark/>
          </w:tcPr>
          <w:p w14:paraId="4A10DA43" w14:textId="77777777" w:rsidR="00A85A83" w:rsidRPr="00A733B7" w:rsidRDefault="00A85A83" w:rsidP="00162496">
            <w:pPr>
              <w:autoSpaceDE/>
              <w:autoSpaceDN/>
              <w:rPr>
                <w:bCs/>
                <w:lang w:eastAsia="et-EE"/>
              </w:rPr>
            </w:pPr>
          </w:p>
        </w:tc>
        <w:tc>
          <w:tcPr>
            <w:tcW w:w="2835" w:type="dxa"/>
            <w:vMerge/>
            <w:shd w:val="clear" w:color="auto" w:fill="auto"/>
            <w:vAlign w:val="center"/>
            <w:hideMark/>
          </w:tcPr>
          <w:p w14:paraId="039218CE" w14:textId="77777777" w:rsidR="00A85A83" w:rsidRPr="00B310BF" w:rsidRDefault="00A85A83" w:rsidP="00162496">
            <w:pPr>
              <w:autoSpaceDE/>
              <w:autoSpaceDN/>
              <w:rPr>
                <w:lang w:eastAsia="et-EE"/>
              </w:rPr>
            </w:pPr>
          </w:p>
        </w:tc>
        <w:tc>
          <w:tcPr>
            <w:tcW w:w="7371" w:type="dxa"/>
            <w:shd w:val="clear" w:color="auto" w:fill="auto"/>
            <w:vAlign w:val="center"/>
            <w:hideMark/>
          </w:tcPr>
          <w:p w14:paraId="16CE4FDC" w14:textId="77777777" w:rsidR="00A85A83" w:rsidRPr="00F21B5D" w:rsidRDefault="00A85A83" w:rsidP="00121930">
            <w:pPr>
              <w:autoSpaceDE/>
              <w:autoSpaceDN/>
              <w:jc w:val="both"/>
              <w:rPr>
                <w:lang w:eastAsia="et-EE"/>
              </w:rPr>
            </w:pPr>
            <w:r w:rsidRPr="00F21B5D">
              <w:rPr>
                <w:lang w:eastAsia="et-EE"/>
              </w:rPr>
              <w:t>Kogu investeering moodustab 301,00–350,00% ettevõtja taotluse esitamisele vahetult eelnenud majandusaasta müügitulust</w:t>
            </w:r>
          </w:p>
        </w:tc>
        <w:tc>
          <w:tcPr>
            <w:tcW w:w="992" w:type="dxa"/>
            <w:shd w:val="clear" w:color="auto" w:fill="auto"/>
            <w:vAlign w:val="center"/>
            <w:hideMark/>
          </w:tcPr>
          <w:p w14:paraId="03DA672B" w14:textId="77777777" w:rsidR="00A85A83" w:rsidRPr="004A3EA0" w:rsidRDefault="00A85A83" w:rsidP="00162496">
            <w:pPr>
              <w:autoSpaceDE/>
              <w:autoSpaceDN/>
              <w:jc w:val="center"/>
              <w:rPr>
                <w:b/>
                <w:bCs/>
                <w:lang w:eastAsia="et-EE"/>
              </w:rPr>
            </w:pPr>
            <w:r w:rsidRPr="004A3EA0">
              <w:rPr>
                <w:b/>
                <w:bCs/>
                <w:lang w:eastAsia="et-EE"/>
              </w:rPr>
              <w:t>4</w:t>
            </w:r>
          </w:p>
        </w:tc>
      </w:tr>
      <w:tr w:rsidR="00A85A83" w:rsidRPr="00F1775E" w14:paraId="78BDBEBA" w14:textId="77777777" w:rsidTr="008F05F8">
        <w:trPr>
          <w:trHeight w:val="63"/>
        </w:trPr>
        <w:tc>
          <w:tcPr>
            <w:tcW w:w="851" w:type="dxa"/>
            <w:vMerge/>
            <w:shd w:val="clear" w:color="auto" w:fill="auto"/>
            <w:vAlign w:val="center"/>
          </w:tcPr>
          <w:p w14:paraId="66425E2A"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tcPr>
          <w:p w14:paraId="1B236B78" w14:textId="60A24B62" w:rsidR="00A85A83" w:rsidRPr="004A3EA0" w:rsidRDefault="00A85A83" w:rsidP="008F05F8">
            <w:pPr>
              <w:autoSpaceDE/>
              <w:autoSpaceDN/>
              <w:jc w:val="center"/>
              <w:rPr>
                <w:b/>
                <w:bCs/>
                <w:lang w:eastAsia="et-EE"/>
              </w:rPr>
            </w:pPr>
            <w:r w:rsidRPr="004A3EA0">
              <w:rPr>
                <w:b/>
                <w:bCs/>
                <w:lang w:eastAsia="et-EE"/>
              </w:rPr>
              <w:t>31</w:t>
            </w:r>
          </w:p>
        </w:tc>
        <w:tc>
          <w:tcPr>
            <w:tcW w:w="1418" w:type="dxa"/>
            <w:vMerge/>
            <w:shd w:val="clear" w:color="auto" w:fill="DBE5F1" w:themeFill="accent1" w:themeFillTint="33"/>
            <w:vAlign w:val="center"/>
          </w:tcPr>
          <w:p w14:paraId="61969DA5" w14:textId="79D44298" w:rsidR="00A85A83" w:rsidRPr="00F1775E" w:rsidRDefault="00A85A83" w:rsidP="008F05F8">
            <w:pPr>
              <w:autoSpaceDE/>
              <w:autoSpaceDN/>
              <w:rPr>
                <w:lang w:eastAsia="et-EE"/>
              </w:rPr>
            </w:pPr>
          </w:p>
        </w:tc>
        <w:tc>
          <w:tcPr>
            <w:tcW w:w="2835" w:type="dxa"/>
            <w:vMerge/>
            <w:shd w:val="clear" w:color="auto" w:fill="auto"/>
            <w:vAlign w:val="center"/>
          </w:tcPr>
          <w:p w14:paraId="080CA9B2" w14:textId="218A3E34" w:rsidR="00A85A83" w:rsidRPr="00B310BF" w:rsidRDefault="00A85A83" w:rsidP="008F05F8">
            <w:pPr>
              <w:autoSpaceDE/>
              <w:autoSpaceDN/>
              <w:rPr>
                <w:lang w:eastAsia="et-EE"/>
              </w:rPr>
            </w:pPr>
          </w:p>
        </w:tc>
        <w:tc>
          <w:tcPr>
            <w:tcW w:w="7371" w:type="dxa"/>
            <w:shd w:val="clear" w:color="auto" w:fill="auto"/>
            <w:vAlign w:val="center"/>
          </w:tcPr>
          <w:p w14:paraId="4E75A945" w14:textId="692DD8E7" w:rsidR="00A85A83" w:rsidRPr="00F21B5D" w:rsidRDefault="00A85A83" w:rsidP="006317F4">
            <w:pPr>
              <w:autoSpaceDE/>
              <w:autoSpaceDN/>
              <w:rPr>
                <w:lang w:eastAsia="et-EE"/>
              </w:rPr>
            </w:pPr>
            <w:r w:rsidRPr="00F21B5D">
              <w:rPr>
                <w:lang w:eastAsia="et-EE"/>
              </w:rPr>
              <w:t>Kui kogu investeering moodustab üle 350,00% ettevõtja taotluse esitamisele vahetult eelnenud majandusaasta müügitulust, siis vähendatakse ettevõtja hindepunkte nende hindepunktide võrra, mis ta sai hindamiskriteeriumis 14 nimetatud müügitulu vahemiku alusel</w:t>
            </w:r>
          </w:p>
        </w:tc>
        <w:tc>
          <w:tcPr>
            <w:tcW w:w="992" w:type="dxa"/>
            <w:shd w:val="clear" w:color="auto" w:fill="auto"/>
            <w:vAlign w:val="center"/>
          </w:tcPr>
          <w:p w14:paraId="72671C83" w14:textId="77777777" w:rsidR="00A85A83" w:rsidRPr="004A3EA0" w:rsidRDefault="00A85A83" w:rsidP="008F05F8">
            <w:pPr>
              <w:autoSpaceDE/>
              <w:autoSpaceDN/>
              <w:jc w:val="center"/>
              <w:rPr>
                <w:b/>
                <w:bCs/>
                <w:lang w:eastAsia="et-EE"/>
              </w:rPr>
            </w:pPr>
            <w:r w:rsidRPr="004A3EA0">
              <w:rPr>
                <w:b/>
                <w:bCs/>
                <w:lang w:eastAsia="et-EE"/>
              </w:rPr>
              <w:t>–1…–10</w:t>
            </w:r>
          </w:p>
        </w:tc>
      </w:tr>
      <w:tr w:rsidR="00A85A83" w:rsidRPr="00F1775E" w14:paraId="0BC4B1BC" w14:textId="77777777" w:rsidTr="008F05F8">
        <w:trPr>
          <w:trHeight w:val="1731"/>
        </w:trPr>
        <w:tc>
          <w:tcPr>
            <w:tcW w:w="851" w:type="dxa"/>
            <w:vMerge w:val="restart"/>
            <w:shd w:val="clear" w:color="auto" w:fill="auto"/>
            <w:vAlign w:val="center"/>
            <w:hideMark/>
          </w:tcPr>
          <w:p w14:paraId="224AF090" w14:textId="77777777" w:rsidR="00A85A83" w:rsidRPr="00EC7A18" w:rsidRDefault="00A85A83" w:rsidP="008F05F8">
            <w:pPr>
              <w:autoSpaceDE/>
              <w:autoSpaceDN/>
              <w:jc w:val="center"/>
              <w:rPr>
                <w:b/>
                <w:bCs/>
                <w:sz w:val="40"/>
                <w:szCs w:val="40"/>
                <w:lang w:eastAsia="et-EE"/>
              </w:rPr>
            </w:pPr>
            <w:r w:rsidRPr="00EC7A18">
              <w:rPr>
                <w:b/>
                <w:bCs/>
                <w:sz w:val="40"/>
                <w:szCs w:val="40"/>
                <w:lang w:eastAsia="et-EE"/>
              </w:rPr>
              <w:t>12</w:t>
            </w:r>
          </w:p>
        </w:tc>
        <w:tc>
          <w:tcPr>
            <w:tcW w:w="709" w:type="dxa"/>
            <w:shd w:val="clear" w:color="auto" w:fill="auto"/>
            <w:noWrap/>
            <w:vAlign w:val="center"/>
            <w:hideMark/>
          </w:tcPr>
          <w:p w14:paraId="2FFB9C0E" w14:textId="6595ED2E" w:rsidR="00A85A83" w:rsidRPr="004A3EA0" w:rsidRDefault="00A85A83" w:rsidP="008F05F8">
            <w:pPr>
              <w:autoSpaceDE/>
              <w:autoSpaceDN/>
              <w:jc w:val="center"/>
              <w:rPr>
                <w:b/>
                <w:bCs/>
                <w:lang w:eastAsia="et-EE"/>
              </w:rPr>
            </w:pPr>
            <w:r w:rsidRPr="004A3EA0">
              <w:rPr>
                <w:b/>
                <w:bCs/>
                <w:lang w:eastAsia="et-EE"/>
              </w:rPr>
              <w:t>32</w:t>
            </w:r>
          </w:p>
        </w:tc>
        <w:tc>
          <w:tcPr>
            <w:tcW w:w="1418" w:type="dxa"/>
            <w:vMerge/>
            <w:shd w:val="clear" w:color="auto" w:fill="DBE5F1" w:themeFill="accent1" w:themeFillTint="33"/>
            <w:vAlign w:val="center"/>
            <w:hideMark/>
          </w:tcPr>
          <w:p w14:paraId="629E9376" w14:textId="77777777" w:rsidR="00A85A83" w:rsidRPr="00A733B7" w:rsidRDefault="00A85A83" w:rsidP="008F05F8">
            <w:pPr>
              <w:autoSpaceDE/>
              <w:autoSpaceDN/>
              <w:rPr>
                <w:bCs/>
                <w:lang w:eastAsia="et-EE"/>
              </w:rPr>
            </w:pPr>
          </w:p>
        </w:tc>
        <w:tc>
          <w:tcPr>
            <w:tcW w:w="2835" w:type="dxa"/>
            <w:vMerge w:val="restart"/>
            <w:shd w:val="clear" w:color="auto" w:fill="auto"/>
            <w:vAlign w:val="center"/>
            <w:hideMark/>
          </w:tcPr>
          <w:p w14:paraId="788BEF8E" w14:textId="1BE6C367" w:rsidR="00A85A83" w:rsidRPr="00B310BF" w:rsidRDefault="00A85A83" w:rsidP="008F05F8">
            <w:pPr>
              <w:autoSpaceDE/>
              <w:autoSpaceDN/>
              <w:rPr>
                <w:lang w:eastAsia="et-EE"/>
              </w:rPr>
            </w:pPr>
            <w:r w:rsidRPr="00B310BF">
              <w:rPr>
                <w:lang w:eastAsia="et-EE"/>
              </w:rPr>
              <w:t xml:space="preserve">Ettevõtja, kes vajab investeeringu tegemiseks toetust enam, et tagada toetuse ergutav mõju </w:t>
            </w:r>
          </w:p>
        </w:tc>
        <w:tc>
          <w:tcPr>
            <w:tcW w:w="7371" w:type="dxa"/>
            <w:shd w:val="clear" w:color="auto" w:fill="auto"/>
            <w:hideMark/>
          </w:tcPr>
          <w:p w14:paraId="2B7204B0" w14:textId="2776B3C6" w:rsidR="00A85A83" w:rsidRPr="00F21B5D" w:rsidRDefault="00A85A83" w:rsidP="006317F4">
            <w:pPr>
              <w:jc w:val="both"/>
              <w:rPr>
                <w:lang w:eastAsia="et-EE"/>
              </w:rPr>
            </w:pPr>
            <w:r w:rsidRPr="00F21B5D">
              <w:rPr>
                <w:lang w:eastAsia="et-EE"/>
              </w:rPr>
              <w:t>Ettevõtja taotluse esitamisele vahetult eelnenud kahe majandusaasta keskmine ärikasum enne kulumit (EBITDA) oli 0–5000,99 eurot.</w:t>
            </w:r>
            <w:r w:rsidRPr="00F21B5D">
              <w:t xml:space="preserve"> Raamatupidamise seaduse kohaselt kassapõhist raamatupidamise arvestust pidava füüsilisest isikust ettevõtja puhul peab tema taotluse esitamisele vahetult eelnenud kahe kalendriaasta keskmine tuludeklaratsiooni vormil E kajastatud  ettevõtlusest saadud tulude  ja ettevõtlusega seotud kulude vahe liidetuna põhivara soetamismaksumusega olema 0–5000,99 eurot </w:t>
            </w:r>
          </w:p>
        </w:tc>
        <w:tc>
          <w:tcPr>
            <w:tcW w:w="992" w:type="dxa"/>
            <w:shd w:val="clear" w:color="auto" w:fill="auto"/>
            <w:noWrap/>
            <w:vAlign w:val="center"/>
            <w:hideMark/>
          </w:tcPr>
          <w:p w14:paraId="502A8F35" w14:textId="77777777" w:rsidR="00A85A83" w:rsidRPr="004A3EA0" w:rsidRDefault="00A85A83" w:rsidP="008F05F8">
            <w:pPr>
              <w:autoSpaceDE/>
              <w:autoSpaceDN/>
              <w:jc w:val="center"/>
              <w:rPr>
                <w:b/>
                <w:bCs/>
                <w:lang w:eastAsia="et-EE"/>
              </w:rPr>
            </w:pPr>
            <w:r w:rsidRPr="004A3EA0">
              <w:rPr>
                <w:b/>
                <w:bCs/>
                <w:lang w:eastAsia="et-EE"/>
              </w:rPr>
              <w:t>2</w:t>
            </w:r>
          </w:p>
        </w:tc>
      </w:tr>
      <w:tr w:rsidR="00A85A83" w:rsidRPr="00F1775E" w14:paraId="263B1549" w14:textId="77777777" w:rsidTr="008F05F8">
        <w:trPr>
          <w:trHeight w:val="406"/>
        </w:trPr>
        <w:tc>
          <w:tcPr>
            <w:tcW w:w="851" w:type="dxa"/>
            <w:vMerge/>
            <w:shd w:val="clear" w:color="auto" w:fill="auto"/>
            <w:vAlign w:val="center"/>
            <w:hideMark/>
          </w:tcPr>
          <w:p w14:paraId="13E325BB"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0C2B45C3" w14:textId="0FDB7180" w:rsidR="00A85A83" w:rsidRPr="004A3EA0" w:rsidRDefault="00A85A83" w:rsidP="008F05F8">
            <w:pPr>
              <w:autoSpaceDE/>
              <w:autoSpaceDN/>
              <w:jc w:val="center"/>
              <w:rPr>
                <w:b/>
                <w:bCs/>
                <w:lang w:eastAsia="et-EE"/>
              </w:rPr>
            </w:pPr>
            <w:r w:rsidRPr="004A3EA0">
              <w:rPr>
                <w:b/>
                <w:bCs/>
                <w:lang w:eastAsia="et-EE"/>
              </w:rPr>
              <w:t>33</w:t>
            </w:r>
          </w:p>
        </w:tc>
        <w:tc>
          <w:tcPr>
            <w:tcW w:w="1418" w:type="dxa"/>
            <w:vMerge/>
            <w:shd w:val="clear" w:color="auto" w:fill="DBE5F1" w:themeFill="accent1" w:themeFillTint="33"/>
            <w:vAlign w:val="center"/>
            <w:hideMark/>
          </w:tcPr>
          <w:p w14:paraId="7320009C"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2DC45869" w14:textId="77777777" w:rsidR="00A85A83" w:rsidRPr="00F1775E" w:rsidRDefault="00A85A83" w:rsidP="008F05F8">
            <w:pPr>
              <w:autoSpaceDE/>
              <w:autoSpaceDN/>
              <w:rPr>
                <w:lang w:eastAsia="et-EE"/>
              </w:rPr>
            </w:pPr>
          </w:p>
        </w:tc>
        <w:tc>
          <w:tcPr>
            <w:tcW w:w="7371" w:type="dxa"/>
            <w:shd w:val="clear" w:color="auto" w:fill="auto"/>
            <w:hideMark/>
          </w:tcPr>
          <w:p w14:paraId="3A9AFED9" w14:textId="07E470CE" w:rsidR="00A85A83" w:rsidRPr="00F21B5D" w:rsidRDefault="00A85A83" w:rsidP="00EC2C47">
            <w:pPr>
              <w:autoSpaceDE/>
              <w:autoSpaceDN/>
              <w:jc w:val="both"/>
              <w:rPr>
                <w:lang w:eastAsia="et-EE"/>
              </w:rPr>
            </w:pPr>
            <w:r w:rsidRPr="00F21B5D">
              <w:rPr>
                <w:lang w:eastAsia="et-EE"/>
              </w:rPr>
              <w:t>Ettevõtja taotluse esitamisele vahetult eelnenud kahe majandusaasta keskmine ärikasum enne kulumit (EBITDA) oli 5001,00 –10 000,99 eurot.</w:t>
            </w:r>
            <w:r w:rsidRPr="00F21B5D">
              <w:t xml:space="preserve"> Raamatupidamise seaduse kohaselt kassapõhist raamatupidamise arvestust pidava füüsilisest isikust ettevõtja puhul peab tema taotluse esitamisele vahetult eelnenud kahe kalendriaasta keskmine tuludeklaratsiooni vormil E kajastatud  ettevõtlusest saadud tulude  ja ettevõtlusega seotud kulude vahe liidetuna põhivara soetamismaksumusega olema </w:t>
            </w:r>
            <w:r w:rsidRPr="00F21B5D">
              <w:rPr>
                <w:lang w:eastAsia="et-EE"/>
              </w:rPr>
              <w:t>5001,00 – 10 000,99 eurot</w:t>
            </w:r>
            <w:r w:rsidRPr="00F21B5D">
              <w:t xml:space="preserve"> </w:t>
            </w:r>
          </w:p>
        </w:tc>
        <w:tc>
          <w:tcPr>
            <w:tcW w:w="992" w:type="dxa"/>
            <w:shd w:val="clear" w:color="auto" w:fill="auto"/>
            <w:noWrap/>
            <w:vAlign w:val="center"/>
            <w:hideMark/>
          </w:tcPr>
          <w:p w14:paraId="672F8CD7" w14:textId="77777777" w:rsidR="00A85A83" w:rsidRPr="004A3EA0" w:rsidRDefault="00A85A83" w:rsidP="008F05F8">
            <w:pPr>
              <w:autoSpaceDE/>
              <w:autoSpaceDN/>
              <w:jc w:val="center"/>
              <w:rPr>
                <w:b/>
                <w:bCs/>
                <w:lang w:eastAsia="et-EE"/>
              </w:rPr>
            </w:pPr>
            <w:r w:rsidRPr="004A3EA0">
              <w:rPr>
                <w:b/>
                <w:bCs/>
                <w:lang w:eastAsia="et-EE"/>
              </w:rPr>
              <w:t>4</w:t>
            </w:r>
          </w:p>
        </w:tc>
      </w:tr>
      <w:tr w:rsidR="00A85A83" w:rsidRPr="00F1775E" w14:paraId="2F83DD7B" w14:textId="77777777" w:rsidTr="008F05F8">
        <w:trPr>
          <w:trHeight w:val="2173"/>
        </w:trPr>
        <w:tc>
          <w:tcPr>
            <w:tcW w:w="851" w:type="dxa"/>
            <w:vMerge/>
            <w:shd w:val="clear" w:color="auto" w:fill="auto"/>
            <w:vAlign w:val="center"/>
            <w:hideMark/>
          </w:tcPr>
          <w:p w14:paraId="43AC4AB1"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43BA327B" w14:textId="709DE24F" w:rsidR="00A85A83" w:rsidRPr="004A3EA0" w:rsidRDefault="00A85A83" w:rsidP="008F05F8">
            <w:pPr>
              <w:autoSpaceDE/>
              <w:autoSpaceDN/>
              <w:jc w:val="center"/>
              <w:rPr>
                <w:b/>
                <w:bCs/>
                <w:lang w:eastAsia="et-EE"/>
              </w:rPr>
            </w:pPr>
            <w:r w:rsidRPr="004A3EA0">
              <w:rPr>
                <w:b/>
                <w:bCs/>
                <w:lang w:eastAsia="et-EE"/>
              </w:rPr>
              <w:t>34</w:t>
            </w:r>
          </w:p>
        </w:tc>
        <w:tc>
          <w:tcPr>
            <w:tcW w:w="1418" w:type="dxa"/>
            <w:vMerge/>
            <w:shd w:val="clear" w:color="auto" w:fill="DBE5F1" w:themeFill="accent1" w:themeFillTint="33"/>
            <w:vAlign w:val="center"/>
            <w:hideMark/>
          </w:tcPr>
          <w:p w14:paraId="592F6BC7"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0B469BFF" w14:textId="77777777" w:rsidR="00A85A83" w:rsidRPr="00F1775E" w:rsidRDefault="00A85A83" w:rsidP="008F05F8">
            <w:pPr>
              <w:autoSpaceDE/>
              <w:autoSpaceDN/>
              <w:rPr>
                <w:lang w:eastAsia="et-EE"/>
              </w:rPr>
            </w:pPr>
          </w:p>
        </w:tc>
        <w:tc>
          <w:tcPr>
            <w:tcW w:w="7371" w:type="dxa"/>
            <w:shd w:val="clear" w:color="auto" w:fill="auto"/>
            <w:hideMark/>
          </w:tcPr>
          <w:p w14:paraId="2930F5F8" w14:textId="69936251" w:rsidR="00A85A83" w:rsidRPr="00F21B5D" w:rsidRDefault="00A85A83" w:rsidP="00EC2C47">
            <w:pPr>
              <w:autoSpaceDE/>
              <w:autoSpaceDN/>
              <w:jc w:val="both"/>
              <w:rPr>
                <w:lang w:eastAsia="et-EE"/>
              </w:rPr>
            </w:pPr>
            <w:r w:rsidRPr="00F21B5D">
              <w:rPr>
                <w:lang w:eastAsia="et-EE"/>
              </w:rPr>
              <w:t>Ettevõtja taotluse esitamisele vahetult eelnenud kahe majandusaasta keskmine ärikasum enne kulumit (EBITDA) oli 10 001,00 – 30 000,99 eurot.</w:t>
            </w:r>
            <w:r w:rsidRPr="00F21B5D">
              <w:t xml:space="preserve"> Raamatupidamise seaduse kohaselt kassapõhist raamatupidamise arvestust pidava füüsilisest isikust ettevõtja puhul peab tema taotluse esitamisele vahetult eelnenud kahe kalendriaasta keskmine tuludeklaratsiooni vormil E kajastatud  ettevõtlusest saadud tulude ja ettevõtlusega seotud kulude vahe liidetuna põhivara soetamismaksumusega olema 10 001,00 – 30 000,99 eurot </w:t>
            </w:r>
          </w:p>
        </w:tc>
        <w:tc>
          <w:tcPr>
            <w:tcW w:w="992" w:type="dxa"/>
            <w:shd w:val="clear" w:color="auto" w:fill="auto"/>
            <w:noWrap/>
            <w:vAlign w:val="center"/>
            <w:hideMark/>
          </w:tcPr>
          <w:p w14:paraId="565900E3" w14:textId="77777777" w:rsidR="00A85A83" w:rsidRPr="004A3EA0" w:rsidRDefault="00A85A83" w:rsidP="008F05F8">
            <w:pPr>
              <w:autoSpaceDE/>
              <w:autoSpaceDN/>
              <w:jc w:val="center"/>
              <w:rPr>
                <w:b/>
                <w:bCs/>
                <w:lang w:eastAsia="et-EE"/>
              </w:rPr>
            </w:pPr>
            <w:r w:rsidRPr="004A3EA0">
              <w:rPr>
                <w:b/>
                <w:bCs/>
                <w:lang w:eastAsia="et-EE"/>
              </w:rPr>
              <w:t>6</w:t>
            </w:r>
          </w:p>
        </w:tc>
      </w:tr>
      <w:tr w:rsidR="00A85A83" w:rsidRPr="00F1775E" w14:paraId="41BE7368" w14:textId="77777777" w:rsidTr="008F05F8">
        <w:trPr>
          <w:trHeight w:val="2246"/>
        </w:trPr>
        <w:tc>
          <w:tcPr>
            <w:tcW w:w="851" w:type="dxa"/>
            <w:vMerge/>
            <w:shd w:val="clear" w:color="auto" w:fill="auto"/>
            <w:vAlign w:val="center"/>
          </w:tcPr>
          <w:p w14:paraId="70D4896D"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tcPr>
          <w:p w14:paraId="24A92152" w14:textId="73FFF458" w:rsidR="00A85A83" w:rsidRPr="004A3EA0" w:rsidRDefault="00A85A83" w:rsidP="008F05F8">
            <w:pPr>
              <w:autoSpaceDE/>
              <w:autoSpaceDN/>
              <w:jc w:val="center"/>
              <w:rPr>
                <w:b/>
                <w:bCs/>
                <w:lang w:eastAsia="et-EE"/>
              </w:rPr>
            </w:pPr>
            <w:r w:rsidRPr="004A3EA0">
              <w:rPr>
                <w:b/>
                <w:bCs/>
                <w:lang w:eastAsia="et-EE"/>
              </w:rPr>
              <w:t>35</w:t>
            </w:r>
          </w:p>
        </w:tc>
        <w:tc>
          <w:tcPr>
            <w:tcW w:w="1418" w:type="dxa"/>
            <w:vMerge/>
            <w:shd w:val="clear" w:color="auto" w:fill="DBE5F1" w:themeFill="accent1" w:themeFillTint="33"/>
            <w:vAlign w:val="center"/>
          </w:tcPr>
          <w:p w14:paraId="0770110C" w14:textId="77777777" w:rsidR="00A85A83" w:rsidRPr="00A733B7" w:rsidRDefault="00A85A83" w:rsidP="008F05F8">
            <w:pPr>
              <w:autoSpaceDE/>
              <w:autoSpaceDN/>
              <w:rPr>
                <w:bCs/>
                <w:lang w:eastAsia="et-EE"/>
              </w:rPr>
            </w:pPr>
          </w:p>
        </w:tc>
        <w:tc>
          <w:tcPr>
            <w:tcW w:w="2835" w:type="dxa"/>
            <w:vMerge/>
            <w:shd w:val="clear" w:color="auto" w:fill="auto"/>
            <w:vAlign w:val="center"/>
          </w:tcPr>
          <w:p w14:paraId="714AAD0F" w14:textId="77777777" w:rsidR="00A85A83" w:rsidRPr="00F1775E" w:rsidRDefault="00A85A83" w:rsidP="008F05F8">
            <w:pPr>
              <w:autoSpaceDE/>
              <w:autoSpaceDN/>
              <w:rPr>
                <w:lang w:eastAsia="et-EE"/>
              </w:rPr>
            </w:pPr>
          </w:p>
        </w:tc>
        <w:tc>
          <w:tcPr>
            <w:tcW w:w="7371" w:type="dxa"/>
            <w:shd w:val="clear" w:color="auto" w:fill="auto"/>
          </w:tcPr>
          <w:p w14:paraId="578D7CA5" w14:textId="0607451C" w:rsidR="00A85A83" w:rsidRPr="00F21B5D" w:rsidRDefault="00A85A83" w:rsidP="00EC2C47">
            <w:pPr>
              <w:autoSpaceDE/>
              <w:autoSpaceDN/>
              <w:jc w:val="both"/>
              <w:rPr>
                <w:lang w:eastAsia="et-EE"/>
              </w:rPr>
            </w:pPr>
            <w:r w:rsidRPr="00F21B5D">
              <w:rPr>
                <w:lang w:eastAsia="et-EE"/>
              </w:rPr>
              <w:t>Ettevõtja taotluse esitamisele vahetult eelnenud kahe majandusaasta keskmine ärikasum enne kulumit (EBITDA) oli 30 001,00 – 50 000,99 eurot.</w:t>
            </w:r>
            <w:r w:rsidRPr="00F21B5D">
              <w:t xml:space="preserve"> Raamatupidamise seaduse kohaselt kassapõhist raamatupidamise arvestust pidava füüsilisest isikust ettevõtja puhul peab tema taotluse esitamisele vahetult eelnenud kahe kalendriaasta keskmine tuludeklaratsiooni vormil E kajastatud  ettevõtlusest saadud tulude  ja ettevõtlusega seotud kulude vahe liidetuna põhivara soetamismaksumusega olema 30 001,00 – 50 000,99 eurot </w:t>
            </w:r>
          </w:p>
        </w:tc>
        <w:tc>
          <w:tcPr>
            <w:tcW w:w="992" w:type="dxa"/>
            <w:shd w:val="clear" w:color="auto" w:fill="auto"/>
            <w:noWrap/>
            <w:vAlign w:val="center"/>
          </w:tcPr>
          <w:p w14:paraId="69F39C42" w14:textId="77777777" w:rsidR="00A85A83" w:rsidRPr="004A3EA0" w:rsidRDefault="00A85A83" w:rsidP="008F05F8">
            <w:pPr>
              <w:autoSpaceDE/>
              <w:autoSpaceDN/>
              <w:jc w:val="center"/>
              <w:rPr>
                <w:b/>
                <w:bCs/>
                <w:lang w:eastAsia="et-EE"/>
              </w:rPr>
            </w:pPr>
            <w:r w:rsidRPr="004A3EA0">
              <w:rPr>
                <w:b/>
                <w:bCs/>
                <w:lang w:eastAsia="et-EE"/>
              </w:rPr>
              <w:t>4</w:t>
            </w:r>
          </w:p>
        </w:tc>
      </w:tr>
      <w:tr w:rsidR="00A85A83" w:rsidRPr="00F1775E" w14:paraId="13BC62C6" w14:textId="77777777" w:rsidTr="008F05F8">
        <w:trPr>
          <w:trHeight w:val="558"/>
        </w:trPr>
        <w:tc>
          <w:tcPr>
            <w:tcW w:w="851" w:type="dxa"/>
            <w:vMerge/>
            <w:shd w:val="clear" w:color="auto" w:fill="auto"/>
            <w:vAlign w:val="center"/>
          </w:tcPr>
          <w:p w14:paraId="425E380B" w14:textId="77777777" w:rsidR="00A85A83" w:rsidRPr="00AA6F7F" w:rsidRDefault="00A85A83" w:rsidP="008F05F8">
            <w:pPr>
              <w:autoSpaceDE/>
              <w:autoSpaceDN/>
              <w:jc w:val="center"/>
              <w:rPr>
                <w:b/>
                <w:bCs/>
                <w:sz w:val="48"/>
                <w:szCs w:val="48"/>
                <w:lang w:eastAsia="et-EE"/>
              </w:rPr>
            </w:pPr>
          </w:p>
        </w:tc>
        <w:tc>
          <w:tcPr>
            <w:tcW w:w="709" w:type="dxa"/>
            <w:shd w:val="clear" w:color="auto" w:fill="auto"/>
            <w:noWrap/>
            <w:vAlign w:val="center"/>
          </w:tcPr>
          <w:p w14:paraId="3398E0FA" w14:textId="526C1C06" w:rsidR="00A85A83" w:rsidRPr="004A3EA0" w:rsidRDefault="00A85A83" w:rsidP="008F05F8">
            <w:pPr>
              <w:autoSpaceDE/>
              <w:autoSpaceDN/>
              <w:jc w:val="center"/>
              <w:rPr>
                <w:b/>
                <w:bCs/>
                <w:lang w:eastAsia="et-EE"/>
              </w:rPr>
            </w:pPr>
            <w:r w:rsidRPr="004A3EA0">
              <w:rPr>
                <w:b/>
                <w:bCs/>
                <w:lang w:eastAsia="et-EE"/>
              </w:rPr>
              <w:t>36</w:t>
            </w:r>
          </w:p>
        </w:tc>
        <w:tc>
          <w:tcPr>
            <w:tcW w:w="1418" w:type="dxa"/>
            <w:vMerge/>
            <w:shd w:val="clear" w:color="auto" w:fill="DBE5F1" w:themeFill="accent1" w:themeFillTint="33"/>
            <w:vAlign w:val="center"/>
          </w:tcPr>
          <w:p w14:paraId="0AFBAEA4" w14:textId="77777777" w:rsidR="00A85A83" w:rsidRPr="00A733B7" w:rsidRDefault="00A85A83" w:rsidP="008F05F8">
            <w:pPr>
              <w:autoSpaceDE/>
              <w:autoSpaceDN/>
              <w:rPr>
                <w:bCs/>
                <w:lang w:eastAsia="et-EE"/>
              </w:rPr>
            </w:pPr>
          </w:p>
        </w:tc>
        <w:tc>
          <w:tcPr>
            <w:tcW w:w="2835" w:type="dxa"/>
            <w:vMerge/>
            <w:shd w:val="clear" w:color="auto" w:fill="auto"/>
            <w:vAlign w:val="center"/>
          </w:tcPr>
          <w:p w14:paraId="7467788E" w14:textId="77777777" w:rsidR="00A85A83" w:rsidRPr="00F1775E" w:rsidRDefault="00A85A83" w:rsidP="008F05F8">
            <w:pPr>
              <w:autoSpaceDE/>
              <w:autoSpaceDN/>
              <w:jc w:val="both"/>
              <w:rPr>
                <w:lang w:eastAsia="et-EE"/>
              </w:rPr>
            </w:pPr>
          </w:p>
        </w:tc>
        <w:tc>
          <w:tcPr>
            <w:tcW w:w="7371" w:type="dxa"/>
            <w:shd w:val="clear" w:color="auto" w:fill="auto"/>
          </w:tcPr>
          <w:p w14:paraId="5D5A4193" w14:textId="6CF1421E" w:rsidR="00A85A83" w:rsidRPr="00F21B5D" w:rsidRDefault="00A85A83" w:rsidP="00EC2C47">
            <w:pPr>
              <w:autoSpaceDE/>
              <w:autoSpaceDN/>
              <w:jc w:val="both"/>
              <w:rPr>
                <w:lang w:eastAsia="et-EE"/>
              </w:rPr>
            </w:pPr>
            <w:r w:rsidRPr="00F21B5D">
              <w:rPr>
                <w:lang w:eastAsia="et-EE"/>
              </w:rPr>
              <w:t>Ettevõtja taotluse esitamisele vahetult eelnenud kahe majandusaasta keskmine ärikasum enne kulumit (EBITDA) oli 50 001,00 – 70 000,00 eurot.</w:t>
            </w:r>
            <w:r w:rsidRPr="00F21B5D">
              <w:t xml:space="preserve"> Raamatupidamise seaduse kohaselt kassapõhist raamatupidamise arvestust pidava füüsilisest isikust ettevõtja puhul peab tema taotluse esitamisele vahetult eelnenud kahe kalendriaasta keskmine tuludeklaratsiooni vormil E kajastatud  ettevõtlusest saadud tulude  ja ettevõtlusega seotud kulude vahe liidetuna põhivara soetamismaksumusega olema </w:t>
            </w:r>
            <w:r w:rsidRPr="00F21B5D">
              <w:rPr>
                <w:lang w:eastAsia="et-EE"/>
              </w:rPr>
              <w:t xml:space="preserve">50 001,00 – 70 000,00 eurot </w:t>
            </w:r>
          </w:p>
        </w:tc>
        <w:tc>
          <w:tcPr>
            <w:tcW w:w="992" w:type="dxa"/>
            <w:shd w:val="clear" w:color="auto" w:fill="auto"/>
            <w:vAlign w:val="center"/>
          </w:tcPr>
          <w:p w14:paraId="6A929072" w14:textId="77777777" w:rsidR="00A85A83" w:rsidRPr="004A3EA0" w:rsidRDefault="00A85A83" w:rsidP="008F05F8">
            <w:pPr>
              <w:autoSpaceDE/>
              <w:autoSpaceDN/>
              <w:jc w:val="center"/>
              <w:rPr>
                <w:b/>
                <w:bCs/>
                <w:lang w:eastAsia="et-EE"/>
              </w:rPr>
            </w:pPr>
            <w:r w:rsidRPr="004A3EA0">
              <w:rPr>
                <w:b/>
                <w:bCs/>
                <w:lang w:eastAsia="et-EE"/>
              </w:rPr>
              <w:t>2</w:t>
            </w:r>
          </w:p>
        </w:tc>
      </w:tr>
      <w:tr w:rsidR="00A85A83" w:rsidRPr="00F1775E" w14:paraId="1B053AC6" w14:textId="77777777" w:rsidTr="008F05F8">
        <w:trPr>
          <w:trHeight w:val="829"/>
        </w:trPr>
        <w:tc>
          <w:tcPr>
            <w:tcW w:w="851" w:type="dxa"/>
            <w:vMerge w:val="restart"/>
            <w:shd w:val="clear" w:color="auto" w:fill="auto"/>
            <w:vAlign w:val="center"/>
            <w:hideMark/>
          </w:tcPr>
          <w:p w14:paraId="3D25F4FC" w14:textId="77777777" w:rsidR="00A85A83" w:rsidRPr="00EC7A18" w:rsidRDefault="00A85A83" w:rsidP="008F05F8">
            <w:pPr>
              <w:autoSpaceDE/>
              <w:autoSpaceDN/>
              <w:jc w:val="center"/>
              <w:rPr>
                <w:b/>
                <w:bCs/>
                <w:sz w:val="40"/>
                <w:szCs w:val="40"/>
                <w:lang w:eastAsia="et-EE"/>
              </w:rPr>
            </w:pPr>
            <w:r w:rsidRPr="00EC7A18">
              <w:rPr>
                <w:b/>
                <w:bCs/>
                <w:sz w:val="40"/>
                <w:szCs w:val="40"/>
                <w:lang w:eastAsia="et-EE"/>
              </w:rPr>
              <w:lastRenderedPageBreak/>
              <w:t>13</w:t>
            </w:r>
          </w:p>
        </w:tc>
        <w:tc>
          <w:tcPr>
            <w:tcW w:w="709" w:type="dxa"/>
            <w:shd w:val="clear" w:color="auto" w:fill="auto"/>
            <w:noWrap/>
            <w:vAlign w:val="center"/>
            <w:hideMark/>
          </w:tcPr>
          <w:p w14:paraId="74344415" w14:textId="3D4DD9B7" w:rsidR="00A85A83" w:rsidRPr="004A3EA0" w:rsidRDefault="00A85A83" w:rsidP="008F05F8">
            <w:pPr>
              <w:autoSpaceDE/>
              <w:autoSpaceDN/>
              <w:jc w:val="center"/>
              <w:rPr>
                <w:b/>
                <w:bCs/>
                <w:lang w:eastAsia="et-EE"/>
              </w:rPr>
            </w:pPr>
            <w:r w:rsidRPr="004A3EA0">
              <w:rPr>
                <w:b/>
                <w:bCs/>
                <w:lang w:eastAsia="et-EE"/>
              </w:rPr>
              <w:t>37</w:t>
            </w:r>
          </w:p>
        </w:tc>
        <w:tc>
          <w:tcPr>
            <w:tcW w:w="1418" w:type="dxa"/>
            <w:vMerge/>
            <w:shd w:val="clear" w:color="auto" w:fill="DBE5F1" w:themeFill="accent1" w:themeFillTint="33"/>
            <w:vAlign w:val="center"/>
            <w:hideMark/>
          </w:tcPr>
          <w:p w14:paraId="1424BFFC" w14:textId="77777777" w:rsidR="00A85A83" w:rsidRPr="00A733B7" w:rsidRDefault="00A85A83" w:rsidP="008F05F8">
            <w:pPr>
              <w:autoSpaceDE/>
              <w:autoSpaceDN/>
              <w:rPr>
                <w:bCs/>
                <w:lang w:eastAsia="et-EE"/>
              </w:rPr>
            </w:pPr>
          </w:p>
        </w:tc>
        <w:tc>
          <w:tcPr>
            <w:tcW w:w="2835" w:type="dxa"/>
            <w:vMerge w:val="restart"/>
            <w:shd w:val="clear" w:color="auto" w:fill="auto"/>
            <w:vAlign w:val="center"/>
            <w:hideMark/>
          </w:tcPr>
          <w:p w14:paraId="34A10F7C" w14:textId="6EA62429" w:rsidR="00A85A83" w:rsidRPr="00F1775E" w:rsidRDefault="00A85A83" w:rsidP="008F05F8">
            <w:pPr>
              <w:autoSpaceDE/>
              <w:autoSpaceDN/>
              <w:rPr>
                <w:lang w:eastAsia="et-EE"/>
              </w:rPr>
            </w:pPr>
            <w:r w:rsidRPr="00F1775E">
              <w:rPr>
                <w:lang w:eastAsia="et-EE"/>
              </w:rPr>
              <w:t>Põllumajandustootja</w:t>
            </w:r>
            <w:r>
              <w:rPr>
                <w:lang w:eastAsia="et-EE"/>
              </w:rPr>
              <w:t>st ettevõtja</w:t>
            </w:r>
            <w:r w:rsidRPr="00F1775E">
              <w:rPr>
                <w:lang w:eastAsia="et-EE"/>
              </w:rPr>
              <w:t>, kes sõltub rohkem põllumajanduslikust ettevõtlusest</w:t>
            </w:r>
          </w:p>
          <w:p w14:paraId="60E5DED1" w14:textId="76C61B33" w:rsidR="00A85A83" w:rsidRPr="00F1775E" w:rsidRDefault="00A85A83" w:rsidP="008F05F8">
            <w:pPr>
              <w:autoSpaceDE/>
              <w:autoSpaceDN/>
              <w:rPr>
                <w:lang w:eastAsia="et-EE"/>
              </w:rPr>
            </w:pPr>
          </w:p>
        </w:tc>
        <w:tc>
          <w:tcPr>
            <w:tcW w:w="7371" w:type="dxa"/>
            <w:shd w:val="clear" w:color="auto" w:fill="auto"/>
            <w:hideMark/>
          </w:tcPr>
          <w:p w14:paraId="6DA1E192" w14:textId="6139F16E" w:rsidR="00A85A83" w:rsidRPr="00F21B5D" w:rsidRDefault="00A85A83" w:rsidP="008F05F8">
            <w:pPr>
              <w:autoSpaceDE/>
              <w:autoSpaceDN/>
              <w:jc w:val="both"/>
              <w:rPr>
                <w:lang w:eastAsia="et-EE"/>
              </w:rPr>
            </w:pPr>
            <w:r w:rsidRPr="00F21B5D">
              <w:rPr>
                <w:lang w:eastAsia="et-EE"/>
              </w:rPr>
              <w:t>Ettevõtja taotluse esitamisele vahetult eelnenud kahe majandusaasta keskmine omatoodetud põllumajandustoodete või nende töötlemisel saadud toodete müügitulu kas koos või eraldi moodustas üle 90,00% kogu müügitulust</w:t>
            </w:r>
          </w:p>
        </w:tc>
        <w:tc>
          <w:tcPr>
            <w:tcW w:w="992" w:type="dxa"/>
            <w:shd w:val="clear" w:color="auto" w:fill="auto"/>
            <w:vAlign w:val="center"/>
            <w:hideMark/>
          </w:tcPr>
          <w:p w14:paraId="7657A296" w14:textId="77777777" w:rsidR="00A85A83" w:rsidRPr="004A3EA0" w:rsidRDefault="00A85A83" w:rsidP="008F05F8">
            <w:pPr>
              <w:autoSpaceDE/>
              <w:autoSpaceDN/>
              <w:jc w:val="center"/>
              <w:rPr>
                <w:b/>
                <w:bCs/>
                <w:lang w:eastAsia="et-EE"/>
              </w:rPr>
            </w:pPr>
            <w:r w:rsidRPr="004A3EA0">
              <w:rPr>
                <w:b/>
                <w:bCs/>
                <w:lang w:eastAsia="et-EE"/>
              </w:rPr>
              <w:t>3</w:t>
            </w:r>
          </w:p>
        </w:tc>
      </w:tr>
      <w:tr w:rsidR="00A85A83" w:rsidRPr="00F1775E" w14:paraId="19682DC6" w14:textId="77777777" w:rsidTr="008F05F8">
        <w:trPr>
          <w:trHeight w:val="841"/>
        </w:trPr>
        <w:tc>
          <w:tcPr>
            <w:tcW w:w="851" w:type="dxa"/>
            <w:vMerge/>
            <w:shd w:val="clear" w:color="auto" w:fill="auto"/>
            <w:vAlign w:val="center"/>
            <w:hideMark/>
          </w:tcPr>
          <w:p w14:paraId="32AC6F29"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1C313856" w14:textId="290E595B" w:rsidR="00A85A83" w:rsidRPr="004A3EA0" w:rsidRDefault="00A85A83" w:rsidP="008F05F8">
            <w:pPr>
              <w:autoSpaceDE/>
              <w:autoSpaceDN/>
              <w:jc w:val="center"/>
              <w:rPr>
                <w:b/>
                <w:bCs/>
                <w:lang w:eastAsia="et-EE"/>
              </w:rPr>
            </w:pPr>
            <w:r w:rsidRPr="004A3EA0">
              <w:rPr>
                <w:b/>
                <w:bCs/>
                <w:lang w:eastAsia="et-EE"/>
              </w:rPr>
              <w:t>38</w:t>
            </w:r>
          </w:p>
        </w:tc>
        <w:tc>
          <w:tcPr>
            <w:tcW w:w="1418" w:type="dxa"/>
            <w:vMerge/>
            <w:shd w:val="clear" w:color="auto" w:fill="DBE5F1" w:themeFill="accent1" w:themeFillTint="33"/>
            <w:vAlign w:val="center"/>
            <w:hideMark/>
          </w:tcPr>
          <w:p w14:paraId="274AF6D0"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01EB4C8D" w14:textId="77777777" w:rsidR="00A85A83" w:rsidRPr="00F1775E" w:rsidRDefault="00A85A83" w:rsidP="008F05F8">
            <w:pPr>
              <w:autoSpaceDE/>
              <w:autoSpaceDN/>
              <w:rPr>
                <w:lang w:eastAsia="et-EE"/>
              </w:rPr>
            </w:pPr>
          </w:p>
        </w:tc>
        <w:tc>
          <w:tcPr>
            <w:tcW w:w="7371" w:type="dxa"/>
            <w:shd w:val="clear" w:color="auto" w:fill="auto"/>
            <w:hideMark/>
          </w:tcPr>
          <w:p w14:paraId="3AE47F89" w14:textId="14077373" w:rsidR="00A85A83" w:rsidRPr="00F21B5D" w:rsidRDefault="00A85A83" w:rsidP="008F05F8">
            <w:pPr>
              <w:autoSpaceDE/>
              <w:autoSpaceDN/>
              <w:jc w:val="both"/>
              <w:rPr>
                <w:lang w:eastAsia="et-EE"/>
              </w:rPr>
            </w:pPr>
            <w:r w:rsidRPr="00F21B5D">
              <w:rPr>
                <w:lang w:eastAsia="et-EE"/>
              </w:rPr>
              <w:t>Ettevõtja taotluse esitamisele vahetult eelnenud kahe majandusaasta keskmine omatoodetud põllumajandustoodete või nende töötlemisel saadud toodete müügitulu kas koos või eraldi moodustas 80,01–90,00% kogu müügitulust</w:t>
            </w:r>
          </w:p>
        </w:tc>
        <w:tc>
          <w:tcPr>
            <w:tcW w:w="992" w:type="dxa"/>
            <w:shd w:val="clear" w:color="auto" w:fill="auto"/>
            <w:vAlign w:val="center"/>
            <w:hideMark/>
          </w:tcPr>
          <w:p w14:paraId="6AFD7B18" w14:textId="77777777" w:rsidR="00A85A83" w:rsidRPr="004A3EA0" w:rsidRDefault="00A85A83" w:rsidP="008F05F8">
            <w:pPr>
              <w:autoSpaceDE/>
              <w:autoSpaceDN/>
              <w:jc w:val="center"/>
              <w:rPr>
                <w:b/>
                <w:bCs/>
                <w:lang w:eastAsia="et-EE"/>
              </w:rPr>
            </w:pPr>
            <w:r w:rsidRPr="004A3EA0">
              <w:rPr>
                <w:b/>
                <w:bCs/>
                <w:lang w:eastAsia="et-EE"/>
              </w:rPr>
              <w:t>2</w:t>
            </w:r>
          </w:p>
        </w:tc>
      </w:tr>
      <w:tr w:rsidR="00A85A83" w:rsidRPr="00F1775E" w14:paraId="04ED2236" w14:textId="77777777" w:rsidTr="008F05F8">
        <w:trPr>
          <w:trHeight w:val="824"/>
        </w:trPr>
        <w:tc>
          <w:tcPr>
            <w:tcW w:w="851" w:type="dxa"/>
            <w:vMerge/>
            <w:shd w:val="clear" w:color="auto" w:fill="auto"/>
            <w:vAlign w:val="center"/>
            <w:hideMark/>
          </w:tcPr>
          <w:p w14:paraId="4CB0C7B1"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34E9A512" w14:textId="2686CC34" w:rsidR="00A85A83" w:rsidRPr="004A3EA0" w:rsidRDefault="00A85A83" w:rsidP="008F05F8">
            <w:pPr>
              <w:autoSpaceDE/>
              <w:autoSpaceDN/>
              <w:jc w:val="center"/>
              <w:rPr>
                <w:b/>
                <w:bCs/>
                <w:lang w:eastAsia="et-EE"/>
              </w:rPr>
            </w:pPr>
            <w:r w:rsidRPr="004A3EA0">
              <w:rPr>
                <w:b/>
                <w:bCs/>
                <w:lang w:eastAsia="et-EE"/>
              </w:rPr>
              <w:t>39</w:t>
            </w:r>
          </w:p>
        </w:tc>
        <w:tc>
          <w:tcPr>
            <w:tcW w:w="1418" w:type="dxa"/>
            <w:vMerge/>
            <w:shd w:val="clear" w:color="auto" w:fill="DBE5F1" w:themeFill="accent1" w:themeFillTint="33"/>
            <w:vAlign w:val="center"/>
            <w:hideMark/>
          </w:tcPr>
          <w:p w14:paraId="026E803B"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6439FEFE" w14:textId="77777777" w:rsidR="00A85A83" w:rsidRPr="00F1775E" w:rsidRDefault="00A85A83" w:rsidP="008F05F8">
            <w:pPr>
              <w:autoSpaceDE/>
              <w:autoSpaceDN/>
              <w:rPr>
                <w:lang w:eastAsia="et-EE"/>
              </w:rPr>
            </w:pPr>
          </w:p>
        </w:tc>
        <w:tc>
          <w:tcPr>
            <w:tcW w:w="7371" w:type="dxa"/>
            <w:shd w:val="clear" w:color="auto" w:fill="auto"/>
            <w:hideMark/>
          </w:tcPr>
          <w:p w14:paraId="1FF852E2" w14:textId="40DAB47B" w:rsidR="00A85A83" w:rsidRPr="00F21B5D" w:rsidRDefault="00A85A83" w:rsidP="008F05F8">
            <w:pPr>
              <w:autoSpaceDE/>
              <w:autoSpaceDN/>
              <w:jc w:val="both"/>
              <w:rPr>
                <w:lang w:eastAsia="et-EE"/>
              </w:rPr>
            </w:pPr>
            <w:r w:rsidRPr="00F21B5D">
              <w:rPr>
                <w:lang w:eastAsia="et-EE"/>
              </w:rPr>
              <w:t>Ettevõtja taotluse esitamisele vahetult eelnenud kahe majandusaasta keskmine omatoodetud põllumajandustoodete ja nende töötlemisel saadud toodete müügitulu kas koos või eraldi moodustas 70,00–80,00% kogu müügitulust</w:t>
            </w:r>
          </w:p>
        </w:tc>
        <w:tc>
          <w:tcPr>
            <w:tcW w:w="992" w:type="dxa"/>
            <w:shd w:val="clear" w:color="auto" w:fill="auto"/>
            <w:vAlign w:val="center"/>
            <w:hideMark/>
          </w:tcPr>
          <w:p w14:paraId="14907535" w14:textId="77777777" w:rsidR="00A85A83" w:rsidRPr="004A3EA0" w:rsidRDefault="00A85A83" w:rsidP="008F05F8">
            <w:pPr>
              <w:autoSpaceDE/>
              <w:autoSpaceDN/>
              <w:jc w:val="center"/>
              <w:rPr>
                <w:b/>
                <w:bCs/>
                <w:lang w:eastAsia="et-EE"/>
              </w:rPr>
            </w:pPr>
            <w:r w:rsidRPr="004A3EA0">
              <w:rPr>
                <w:b/>
                <w:bCs/>
                <w:lang w:eastAsia="et-EE"/>
              </w:rPr>
              <w:t>1</w:t>
            </w:r>
          </w:p>
        </w:tc>
      </w:tr>
      <w:tr w:rsidR="00A85A83" w:rsidRPr="00F1775E" w14:paraId="78AB1B3A" w14:textId="77777777" w:rsidTr="008F05F8">
        <w:trPr>
          <w:trHeight w:val="578"/>
        </w:trPr>
        <w:tc>
          <w:tcPr>
            <w:tcW w:w="851" w:type="dxa"/>
            <w:vMerge w:val="restart"/>
            <w:shd w:val="clear" w:color="auto" w:fill="auto"/>
            <w:vAlign w:val="center"/>
            <w:hideMark/>
          </w:tcPr>
          <w:p w14:paraId="18462EB0" w14:textId="77777777" w:rsidR="00A85A83" w:rsidRPr="00EC7A18" w:rsidRDefault="00A85A83" w:rsidP="008F05F8">
            <w:pPr>
              <w:autoSpaceDE/>
              <w:autoSpaceDN/>
              <w:jc w:val="center"/>
              <w:rPr>
                <w:b/>
                <w:bCs/>
                <w:sz w:val="40"/>
                <w:szCs w:val="40"/>
                <w:lang w:eastAsia="et-EE"/>
              </w:rPr>
            </w:pPr>
            <w:r w:rsidRPr="00EC7A18">
              <w:rPr>
                <w:b/>
                <w:bCs/>
                <w:sz w:val="40"/>
                <w:szCs w:val="40"/>
                <w:lang w:eastAsia="et-EE"/>
              </w:rPr>
              <w:t>14</w:t>
            </w:r>
          </w:p>
        </w:tc>
        <w:tc>
          <w:tcPr>
            <w:tcW w:w="709" w:type="dxa"/>
            <w:shd w:val="clear" w:color="auto" w:fill="auto"/>
            <w:noWrap/>
            <w:vAlign w:val="center"/>
            <w:hideMark/>
          </w:tcPr>
          <w:p w14:paraId="5779CAD6" w14:textId="1C54C00F" w:rsidR="00A85A83" w:rsidRPr="00963F07" w:rsidRDefault="00A85A83" w:rsidP="008F05F8">
            <w:pPr>
              <w:autoSpaceDE/>
              <w:autoSpaceDN/>
              <w:jc w:val="center"/>
              <w:rPr>
                <w:b/>
                <w:bCs/>
                <w:lang w:eastAsia="et-EE"/>
              </w:rPr>
            </w:pPr>
            <w:r w:rsidRPr="00963F07">
              <w:rPr>
                <w:b/>
                <w:bCs/>
                <w:lang w:eastAsia="et-EE"/>
              </w:rPr>
              <w:t>40</w:t>
            </w:r>
          </w:p>
        </w:tc>
        <w:tc>
          <w:tcPr>
            <w:tcW w:w="1418" w:type="dxa"/>
            <w:vMerge/>
            <w:shd w:val="clear" w:color="auto" w:fill="DBE5F1" w:themeFill="accent1" w:themeFillTint="33"/>
            <w:vAlign w:val="center"/>
            <w:hideMark/>
          </w:tcPr>
          <w:p w14:paraId="766756B8" w14:textId="77777777" w:rsidR="00A85A83" w:rsidRPr="00A733B7" w:rsidRDefault="00A85A83" w:rsidP="008F05F8">
            <w:pPr>
              <w:autoSpaceDE/>
              <w:autoSpaceDN/>
              <w:rPr>
                <w:bCs/>
                <w:lang w:eastAsia="et-EE"/>
              </w:rPr>
            </w:pPr>
          </w:p>
        </w:tc>
        <w:tc>
          <w:tcPr>
            <w:tcW w:w="2835" w:type="dxa"/>
            <w:vMerge w:val="restart"/>
            <w:shd w:val="clear" w:color="auto" w:fill="auto"/>
            <w:vAlign w:val="center"/>
            <w:hideMark/>
          </w:tcPr>
          <w:p w14:paraId="32A798B3" w14:textId="14A9F17B" w:rsidR="00A85A83" w:rsidRPr="00F1775E" w:rsidRDefault="00A85A83" w:rsidP="008F05F8">
            <w:pPr>
              <w:autoSpaceDE/>
              <w:autoSpaceDN/>
              <w:rPr>
                <w:vertAlign w:val="superscript"/>
                <w:lang w:eastAsia="et-EE"/>
              </w:rPr>
            </w:pPr>
            <w:r w:rsidRPr="00B310BF">
              <w:rPr>
                <w:lang w:eastAsia="et-EE"/>
              </w:rPr>
              <w:t>Väiksema müügituluga ettevõtja</w:t>
            </w:r>
            <w:r w:rsidR="00F21B5D">
              <w:rPr>
                <w:lang w:eastAsia="et-EE"/>
              </w:rPr>
              <w:t xml:space="preserve"> </w:t>
            </w:r>
          </w:p>
          <w:p w14:paraId="7576CF05" w14:textId="5BEA51D4" w:rsidR="00A85A83" w:rsidRPr="00F1775E" w:rsidRDefault="00A85A83" w:rsidP="008F05F8">
            <w:pPr>
              <w:autoSpaceDE/>
              <w:autoSpaceDN/>
              <w:rPr>
                <w:vertAlign w:val="superscript"/>
                <w:lang w:eastAsia="et-EE"/>
              </w:rPr>
            </w:pPr>
          </w:p>
        </w:tc>
        <w:tc>
          <w:tcPr>
            <w:tcW w:w="7371" w:type="dxa"/>
            <w:shd w:val="clear" w:color="auto" w:fill="auto"/>
            <w:hideMark/>
          </w:tcPr>
          <w:p w14:paraId="69F0EE85" w14:textId="1AD9456E"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4000,00 – 20 000,99 eurot</w:t>
            </w:r>
          </w:p>
        </w:tc>
        <w:tc>
          <w:tcPr>
            <w:tcW w:w="992" w:type="dxa"/>
            <w:shd w:val="clear" w:color="auto" w:fill="auto"/>
            <w:vAlign w:val="center"/>
            <w:hideMark/>
          </w:tcPr>
          <w:p w14:paraId="5AFB6052" w14:textId="77777777" w:rsidR="00A85A83" w:rsidRPr="00963F07" w:rsidRDefault="00A85A83" w:rsidP="008F05F8">
            <w:pPr>
              <w:autoSpaceDE/>
              <w:autoSpaceDN/>
              <w:jc w:val="center"/>
              <w:rPr>
                <w:b/>
                <w:bCs/>
                <w:lang w:eastAsia="et-EE"/>
              </w:rPr>
            </w:pPr>
            <w:r w:rsidRPr="00963F07">
              <w:rPr>
                <w:b/>
                <w:bCs/>
                <w:lang w:eastAsia="et-EE"/>
              </w:rPr>
              <w:t>10</w:t>
            </w:r>
          </w:p>
        </w:tc>
      </w:tr>
      <w:tr w:rsidR="00A85A83" w:rsidRPr="00F1775E" w14:paraId="4446324C" w14:textId="77777777" w:rsidTr="008F05F8">
        <w:trPr>
          <w:trHeight w:val="544"/>
        </w:trPr>
        <w:tc>
          <w:tcPr>
            <w:tcW w:w="851" w:type="dxa"/>
            <w:vMerge/>
            <w:shd w:val="clear" w:color="auto" w:fill="auto"/>
            <w:vAlign w:val="center"/>
            <w:hideMark/>
          </w:tcPr>
          <w:p w14:paraId="5740806C"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608B8EEB" w14:textId="1C49520C" w:rsidR="00A85A83" w:rsidRPr="00963F07" w:rsidRDefault="00A85A83" w:rsidP="008F05F8">
            <w:pPr>
              <w:autoSpaceDE/>
              <w:autoSpaceDN/>
              <w:jc w:val="center"/>
              <w:rPr>
                <w:b/>
                <w:bCs/>
                <w:lang w:eastAsia="et-EE"/>
              </w:rPr>
            </w:pPr>
            <w:r w:rsidRPr="00963F07">
              <w:rPr>
                <w:b/>
                <w:bCs/>
                <w:lang w:eastAsia="et-EE"/>
              </w:rPr>
              <w:t>41</w:t>
            </w:r>
          </w:p>
        </w:tc>
        <w:tc>
          <w:tcPr>
            <w:tcW w:w="1418" w:type="dxa"/>
            <w:vMerge/>
            <w:shd w:val="clear" w:color="auto" w:fill="DBE5F1" w:themeFill="accent1" w:themeFillTint="33"/>
            <w:vAlign w:val="center"/>
            <w:hideMark/>
          </w:tcPr>
          <w:p w14:paraId="64F6A57C"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65377743" w14:textId="77777777" w:rsidR="00A85A83" w:rsidRPr="00F1775E" w:rsidRDefault="00A85A83" w:rsidP="008F05F8">
            <w:pPr>
              <w:autoSpaceDE/>
              <w:autoSpaceDN/>
              <w:rPr>
                <w:lang w:eastAsia="et-EE"/>
              </w:rPr>
            </w:pPr>
          </w:p>
        </w:tc>
        <w:tc>
          <w:tcPr>
            <w:tcW w:w="7371" w:type="dxa"/>
            <w:shd w:val="clear" w:color="auto" w:fill="auto"/>
            <w:hideMark/>
          </w:tcPr>
          <w:p w14:paraId="1BE730CA" w14:textId="1E1E091F"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20 001,00 – 40 000,99 eurot</w:t>
            </w:r>
          </w:p>
        </w:tc>
        <w:tc>
          <w:tcPr>
            <w:tcW w:w="992" w:type="dxa"/>
            <w:shd w:val="clear" w:color="auto" w:fill="auto"/>
            <w:vAlign w:val="center"/>
            <w:hideMark/>
          </w:tcPr>
          <w:p w14:paraId="0F477AFF" w14:textId="77777777" w:rsidR="00A85A83" w:rsidRPr="00963F07" w:rsidRDefault="00A85A83" w:rsidP="008F05F8">
            <w:pPr>
              <w:autoSpaceDE/>
              <w:autoSpaceDN/>
              <w:jc w:val="center"/>
              <w:rPr>
                <w:b/>
                <w:bCs/>
                <w:lang w:eastAsia="et-EE"/>
              </w:rPr>
            </w:pPr>
            <w:r w:rsidRPr="00963F07">
              <w:rPr>
                <w:b/>
                <w:bCs/>
                <w:lang w:eastAsia="et-EE"/>
              </w:rPr>
              <w:t>9</w:t>
            </w:r>
          </w:p>
        </w:tc>
      </w:tr>
      <w:tr w:rsidR="00A85A83" w:rsidRPr="00F1775E" w14:paraId="6ABA91DB" w14:textId="77777777" w:rsidTr="008F05F8">
        <w:trPr>
          <w:trHeight w:val="120"/>
        </w:trPr>
        <w:tc>
          <w:tcPr>
            <w:tcW w:w="851" w:type="dxa"/>
            <w:vMerge/>
            <w:shd w:val="clear" w:color="auto" w:fill="auto"/>
            <w:vAlign w:val="center"/>
            <w:hideMark/>
          </w:tcPr>
          <w:p w14:paraId="54046726"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47F5F8F7" w14:textId="01509D71" w:rsidR="00A85A83" w:rsidRPr="00963F07" w:rsidRDefault="00A85A83" w:rsidP="008F05F8">
            <w:pPr>
              <w:autoSpaceDE/>
              <w:autoSpaceDN/>
              <w:jc w:val="center"/>
              <w:rPr>
                <w:b/>
                <w:bCs/>
                <w:lang w:eastAsia="et-EE"/>
              </w:rPr>
            </w:pPr>
            <w:r w:rsidRPr="00963F07">
              <w:rPr>
                <w:b/>
                <w:bCs/>
                <w:lang w:eastAsia="et-EE"/>
              </w:rPr>
              <w:t>42</w:t>
            </w:r>
          </w:p>
        </w:tc>
        <w:tc>
          <w:tcPr>
            <w:tcW w:w="1418" w:type="dxa"/>
            <w:vMerge/>
            <w:shd w:val="clear" w:color="auto" w:fill="DBE5F1" w:themeFill="accent1" w:themeFillTint="33"/>
            <w:vAlign w:val="center"/>
            <w:hideMark/>
          </w:tcPr>
          <w:p w14:paraId="425D059B"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05ACD80A" w14:textId="77777777" w:rsidR="00A85A83" w:rsidRPr="00F1775E" w:rsidRDefault="00A85A83" w:rsidP="008F05F8">
            <w:pPr>
              <w:autoSpaceDE/>
              <w:autoSpaceDN/>
              <w:rPr>
                <w:lang w:eastAsia="et-EE"/>
              </w:rPr>
            </w:pPr>
          </w:p>
        </w:tc>
        <w:tc>
          <w:tcPr>
            <w:tcW w:w="7371" w:type="dxa"/>
            <w:shd w:val="clear" w:color="auto" w:fill="auto"/>
            <w:hideMark/>
          </w:tcPr>
          <w:p w14:paraId="52E8AB1C" w14:textId="0A7E47B6"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40 001,00 – 60 000,99 eurot</w:t>
            </w:r>
          </w:p>
        </w:tc>
        <w:tc>
          <w:tcPr>
            <w:tcW w:w="992" w:type="dxa"/>
            <w:shd w:val="clear" w:color="auto" w:fill="auto"/>
            <w:vAlign w:val="center"/>
            <w:hideMark/>
          </w:tcPr>
          <w:p w14:paraId="42F922D8" w14:textId="77777777" w:rsidR="00A85A83" w:rsidRPr="00963F07" w:rsidRDefault="00A85A83" w:rsidP="008F05F8">
            <w:pPr>
              <w:autoSpaceDE/>
              <w:autoSpaceDN/>
              <w:jc w:val="center"/>
              <w:rPr>
                <w:b/>
                <w:bCs/>
                <w:lang w:eastAsia="et-EE"/>
              </w:rPr>
            </w:pPr>
            <w:r w:rsidRPr="00963F07">
              <w:rPr>
                <w:b/>
                <w:bCs/>
                <w:lang w:eastAsia="et-EE"/>
              </w:rPr>
              <w:t>8</w:t>
            </w:r>
          </w:p>
        </w:tc>
      </w:tr>
      <w:tr w:rsidR="00A85A83" w:rsidRPr="00F1775E" w14:paraId="411F21D4" w14:textId="77777777" w:rsidTr="008F05F8">
        <w:trPr>
          <w:trHeight w:val="546"/>
        </w:trPr>
        <w:tc>
          <w:tcPr>
            <w:tcW w:w="851" w:type="dxa"/>
            <w:vMerge/>
            <w:shd w:val="clear" w:color="auto" w:fill="auto"/>
            <w:vAlign w:val="center"/>
            <w:hideMark/>
          </w:tcPr>
          <w:p w14:paraId="127A7326"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7EA0448E" w14:textId="2991C2FC" w:rsidR="00A85A83" w:rsidRPr="00963F07" w:rsidRDefault="00A85A83" w:rsidP="008F05F8">
            <w:pPr>
              <w:autoSpaceDE/>
              <w:autoSpaceDN/>
              <w:jc w:val="center"/>
              <w:rPr>
                <w:b/>
                <w:bCs/>
                <w:lang w:eastAsia="et-EE"/>
              </w:rPr>
            </w:pPr>
            <w:r w:rsidRPr="00963F07">
              <w:rPr>
                <w:b/>
                <w:bCs/>
                <w:lang w:eastAsia="et-EE"/>
              </w:rPr>
              <w:t>43</w:t>
            </w:r>
          </w:p>
        </w:tc>
        <w:tc>
          <w:tcPr>
            <w:tcW w:w="1418" w:type="dxa"/>
            <w:vMerge/>
            <w:shd w:val="clear" w:color="auto" w:fill="DBE5F1" w:themeFill="accent1" w:themeFillTint="33"/>
            <w:vAlign w:val="center"/>
            <w:hideMark/>
          </w:tcPr>
          <w:p w14:paraId="6572EDED"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051E7E22" w14:textId="77777777" w:rsidR="00A85A83" w:rsidRPr="00F1775E" w:rsidRDefault="00A85A83" w:rsidP="008F05F8">
            <w:pPr>
              <w:autoSpaceDE/>
              <w:autoSpaceDN/>
              <w:rPr>
                <w:lang w:eastAsia="et-EE"/>
              </w:rPr>
            </w:pPr>
          </w:p>
        </w:tc>
        <w:tc>
          <w:tcPr>
            <w:tcW w:w="7371" w:type="dxa"/>
            <w:shd w:val="clear" w:color="auto" w:fill="auto"/>
            <w:hideMark/>
          </w:tcPr>
          <w:p w14:paraId="7DD99A71" w14:textId="79EA3B91"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60 001,00 – 80 000,99 eurot</w:t>
            </w:r>
          </w:p>
        </w:tc>
        <w:tc>
          <w:tcPr>
            <w:tcW w:w="992" w:type="dxa"/>
            <w:shd w:val="clear" w:color="auto" w:fill="auto"/>
            <w:vAlign w:val="center"/>
            <w:hideMark/>
          </w:tcPr>
          <w:p w14:paraId="2006D4D1" w14:textId="77777777" w:rsidR="00A85A83" w:rsidRPr="00963F07" w:rsidRDefault="00A85A83" w:rsidP="008F05F8">
            <w:pPr>
              <w:autoSpaceDE/>
              <w:autoSpaceDN/>
              <w:jc w:val="center"/>
              <w:rPr>
                <w:b/>
                <w:bCs/>
                <w:lang w:eastAsia="et-EE"/>
              </w:rPr>
            </w:pPr>
            <w:r w:rsidRPr="00963F07">
              <w:rPr>
                <w:b/>
                <w:bCs/>
                <w:lang w:eastAsia="et-EE"/>
              </w:rPr>
              <w:t>7</w:t>
            </w:r>
          </w:p>
        </w:tc>
      </w:tr>
      <w:tr w:rsidR="00A85A83" w:rsidRPr="00F1775E" w14:paraId="0DD8F0CA" w14:textId="77777777" w:rsidTr="008F05F8">
        <w:trPr>
          <w:trHeight w:val="385"/>
        </w:trPr>
        <w:tc>
          <w:tcPr>
            <w:tcW w:w="851" w:type="dxa"/>
            <w:vMerge/>
            <w:shd w:val="clear" w:color="auto" w:fill="auto"/>
            <w:vAlign w:val="center"/>
            <w:hideMark/>
          </w:tcPr>
          <w:p w14:paraId="62619BEE"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55A7D21A" w14:textId="29FC162C" w:rsidR="00A85A83" w:rsidRPr="00963F07" w:rsidRDefault="00A85A83" w:rsidP="008F05F8">
            <w:pPr>
              <w:autoSpaceDE/>
              <w:autoSpaceDN/>
              <w:jc w:val="center"/>
              <w:rPr>
                <w:b/>
                <w:bCs/>
                <w:lang w:eastAsia="et-EE"/>
              </w:rPr>
            </w:pPr>
            <w:r w:rsidRPr="00963F07">
              <w:rPr>
                <w:b/>
                <w:bCs/>
                <w:lang w:eastAsia="et-EE"/>
              </w:rPr>
              <w:t>44</w:t>
            </w:r>
          </w:p>
        </w:tc>
        <w:tc>
          <w:tcPr>
            <w:tcW w:w="1418" w:type="dxa"/>
            <w:vMerge/>
            <w:shd w:val="clear" w:color="auto" w:fill="DBE5F1" w:themeFill="accent1" w:themeFillTint="33"/>
            <w:vAlign w:val="center"/>
            <w:hideMark/>
          </w:tcPr>
          <w:p w14:paraId="223404B7"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40A5AF15" w14:textId="77777777" w:rsidR="00A85A83" w:rsidRPr="00F1775E" w:rsidRDefault="00A85A83" w:rsidP="008F05F8">
            <w:pPr>
              <w:autoSpaceDE/>
              <w:autoSpaceDN/>
              <w:rPr>
                <w:lang w:eastAsia="et-EE"/>
              </w:rPr>
            </w:pPr>
          </w:p>
        </w:tc>
        <w:tc>
          <w:tcPr>
            <w:tcW w:w="7371" w:type="dxa"/>
            <w:shd w:val="clear" w:color="auto" w:fill="auto"/>
            <w:hideMark/>
          </w:tcPr>
          <w:p w14:paraId="2F3A80DC" w14:textId="5144C24A"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80 001,00 – 100 000,99 eurot</w:t>
            </w:r>
          </w:p>
        </w:tc>
        <w:tc>
          <w:tcPr>
            <w:tcW w:w="992" w:type="dxa"/>
            <w:shd w:val="clear" w:color="auto" w:fill="auto"/>
            <w:vAlign w:val="center"/>
            <w:hideMark/>
          </w:tcPr>
          <w:p w14:paraId="726E55A8" w14:textId="77777777" w:rsidR="00A85A83" w:rsidRPr="00963F07" w:rsidRDefault="00A85A83" w:rsidP="008F05F8">
            <w:pPr>
              <w:autoSpaceDE/>
              <w:autoSpaceDN/>
              <w:jc w:val="center"/>
              <w:rPr>
                <w:b/>
                <w:bCs/>
                <w:lang w:eastAsia="et-EE"/>
              </w:rPr>
            </w:pPr>
            <w:r w:rsidRPr="00963F07">
              <w:rPr>
                <w:b/>
                <w:bCs/>
                <w:lang w:eastAsia="et-EE"/>
              </w:rPr>
              <w:t>6</w:t>
            </w:r>
          </w:p>
        </w:tc>
      </w:tr>
      <w:tr w:rsidR="00A85A83" w:rsidRPr="00F1775E" w14:paraId="7088360F" w14:textId="77777777" w:rsidTr="008F05F8">
        <w:trPr>
          <w:trHeight w:val="521"/>
        </w:trPr>
        <w:tc>
          <w:tcPr>
            <w:tcW w:w="851" w:type="dxa"/>
            <w:vMerge/>
            <w:shd w:val="clear" w:color="auto" w:fill="auto"/>
            <w:vAlign w:val="center"/>
            <w:hideMark/>
          </w:tcPr>
          <w:p w14:paraId="569A3871"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757436B1" w14:textId="55DE6FAB" w:rsidR="00A85A83" w:rsidRPr="00963F07" w:rsidRDefault="00A85A83" w:rsidP="008F05F8">
            <w:pPr>
              <w:autoSpaceDE/>
              <w:autoSpaceDN/>
              <w:jc w:val="center"/>
              <w:rPr>
                <w:b/>
                <w:bCs/>
                <w:lang w:eastAsia="et-EE"/>
              </w:rPr>
            </w:pPr>
            <w:r w:rsidRPr="00963F07">
              <w:rPr>
                <w:b/>
                <w:bCs/>
                <w:lang w:eastAsia="et-EE"/>
              </w:rPr>
              <w:t>45</w:t>
            </w:r>
          </w:p>
        </w:tc>
        <w:tc>
          <w:tcPr>
            <w:tcW w:w="1418" w:type="dxa"/>
            <w:vMerge/>
            <w:shd w:val="clear" w:color="auto" w:fill="DBE5F1" w:themeFill="accent1" w:themeFillTint="33"/>
            <w:vAlign w:val="center"/>
            <w:hideMark/>
          </w:tcPr>
          <w:p w14:paraId="066316DF"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22711226" w14:textId="77777777" w:rsidR="00A85A83" w:rsidRPr="00F1775E" w:rsidRDefault="00A85A83" w:rsidP="008F05F8">
            <w:pPr>
              <w:autoSpaceDE/>
              <w:autoSpaceDN/>
              <w:rPr>
                <w:lang w:eastAsia="et-EE"/>
              </w:rPr>
            </w:pPr>
          </w:p>
        </w:tc>
        <w:tc>
          <w:tcPr>
            <w:tcW w:w="7371" w:type="dxa"/>
            <w:shd w:val="clear" w:color="auto" w:fill="auto"/>
            <w:hideMark/>
          </w:tcPr>
          <w:p w14:paraId="66D20AED" w14:textId="216F39EA"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100 001,00 – 120 000,99 eurot</w:t>
            </w:r>
          </w:p>
        </w:tc>
        <w:tc>
          <w:tcPr>
            <w:tcW w:w="992" w:type="dxa"/>
            <w:shd w:val="clear" w:color="auto" w:fill="auto"/>
            <w:vAlign w:val="center"/>
            <w:hideMark/>
          </w:tcPr>
          <w:p w14:paraId="22FA1F1C" w14:textId="77777777" w:rsidR="00A85A83" w:rsidRPr="00963F07" w:rsidRDefault="00A85A83" w:rsidP="008F05F8">
            <w:pPr>
              <w:autoSpaceDE/>
              <w:autoSpaceDN/>
              <w:jc w:val="center"/>
              <w:rPr>
                <w:b/>
                <w:bCs/>
                <w:lang w:eastAsia="et-EE"/>
              </w:rPr>
            </w:pPr>
            <w:r w:rsidRPr="00963F07">
              <w:rPr>
                <w:b/>
                <w:bCs/>
                <w:lang w:eastAsia="et-EE"/>
              </w:rPr>
              <w:t>5</w:t>
            </w:r>
          </w:p>
        </w:tc>
      </w:tr>
      <w:tr w:rsidR="00A85A83" w:rsidRPr="00F1775E" w14:paraId="35495335" w14:textId="77777777" w:rsidTr="008F05F8">
        <w:trPr>
          <w:trHeight w:val="529"/>
        </w:trPr>
        <w:tc>
          <w:tcPr>
            <w:tcW w:w="851" w:type="dxa"/>
            <w:vMerge/>
            <w:shd w:val="clear" w:color="auto" w:fill="auto"/>
            <w:vAlign w:val="center"/>
            <w:hideMark/>
          </w:tcPr>
          <w:p w14:paraId="348EC2D4"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63D50FB6" w14:textId="430D8699" w:rsidR="00A85A83" w:rsidRPr="00963F07" w:rsidRDefault="00A85A83" w:rsidP="008F05F8">
            <w:pPr>
              <w:autoSpaceDE/>
              <w:autoSpaceDN/>
              <w:jc w:val="center"/>
              <w:rPr>
                <w:b/>
                <w:bCs/>
                <w:lang w:eastAsia="et-EE"/>
              </w:rPr>
            </w:pPr>
            <w:r w:rsidRPr="00963F07">
              <w:rPr>
                <w:b/>
                <w:bCs/>
                <w:lang w:eastAsia="et-EE"/>
              </w:rPr>
              <w:t>46</w:t>
            </w:r>
          </w:p>
        </w:tc>
        <w:tc>
          <w:tcPr>
            <w:tcW w:w="1418" w:type="dxa"/>
            <w:vMerge/>
            <w:shd w:val="clear" w:color="auto" w:fill="DBE5F1" w:themeFill="accent1" w:themeFillTint="33"/>
            <w:vAlign w:val="center"/>
            <w:hideMark/>
          </w:tcPr>
          <w:p w14:paraId="7FC8AB01"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50554929" w14:textId="77777777" w:rsidR="00A85A83" w:rsidRPr="00F1775E" w:rsidRDefault="00A85A83" w:rsidP="008F05F8">
            <w:pPr>
              <w:autoSpaceDE/>
              <w:autoSpaceDN/>
              <w:rPr>
                <w:lang w:eastAsia="et-EE"/>
              </w:rPr>
            </w:pPr>
          </w:p>
        </w:tc>
        <w:tc>
          <w:tcPr>
            <w:tcW w:w="7371" w:type="dxa"/>
            <w:shd w:val="clear" w:color="auto" w:fill="auto"/>
            <w:hideMark/>
          </w:tcPr>
          <w:p w14:paraId="72E49736" w14:textId="5FBFDE19"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120 001,00 – 140 000,99 eurot</w:t>
            </w:r>
          </w:p>
        </w:tc>
        <w:tc>
          <w:tcPr>
            <w:tcW w:w="992" w:type="dxa"/>
            <w:shd w:val="clear" w:color="auto" w:fill="auto"/>
            <w:vAlign w:val="center"/>
            <w:hideMark/>
          </w:tcPr>
          <w:p w14:paraId="4689F358" w14:textId="77777777" w:rsidR="00A85A83" w:rsidRPr="00963F07" w:rsidRDefault="00A85A83" w:rsidP="008F05F8">
            <w:pPr>
              <w:autoSpaceDE/>
              <w:autoSpaceDN/>
              <w:jc w:val="center"/>
              <w:rPr>
                <w:b/>
                <w:bCs/>
                <w:lang w:eastAsia="et-EE"/>
              </w:rPr>
            </w:pPr>
            <w:r w:rsidRPr="00963F07">
              <w:rPr>
                <w:b/>
                <w:bCs/>
                <w:lang w:eastAsia="et-EE"/>
              </w:rPr>
              <w:t>4</w:t>
            </w:r>
          </w:p>
        </w:tc>
      </w:tr>
      <w:tr w:rsidR="00A85A83" w:rsidRPr="00F1775E" w14:paraId="49594CED" w14:textId="77777777" w:rsidTr="008F05F8">
        <w:trPr>
          <w:trHeight w:val="523"/>
        </w:trPr>
        <w:tc>
          <w:tcPr>
            <w:tcW w:w="851" w:type="dxa"/>
            <w:vMerge/>
            <w:shd w:val="clear" w:color="auto" w:fill="auto"/>
            <w:vAlign w:val="center"/>
            <w:hideMark/>
          </w:tcPr>
          <w:p w14:paraId="5909E2BB"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6B4C0EE6" w14:textId="5EB84E81" w:rsidR="00A85A83" w:rsidRPr="008D6352" w:rsidRDefault="00A85A83" w:rsidP="008F05F8">
            <w:pPr>
              <w:autoSpaceDE/>
              <w:autoSpaceDN/>
              <w:jc w:val="center"/>
              <w:rPr>
                <w:b/>
                <w:bCs/>
                <w:lang w:eastAsia="et-EE"/>
              </w:rPr>
            </w:pPr>
            <w:r w:rsidRPr="008D6352">
              <w:rPr>
                <w:b/>
                <w:bCs/>
                <w:lang w:eastAsia="et-EE"/>
              </w:rPr>
              <w:t>47</w:t>
            </w:r>
          </w:p>
        </w:tc>
        <w:tc>
          <w:tcPr>
            <w:tcW w:w="1418" w:type="dxa"/>
            <w:vMerge/>
            <w:shd w:val="clear" w:color="auto" w:fill="DBE5F1" w:themeFill="accent1" w:themeFillTint="33"/>
            <w:vAlign w:val="center"/>
            <w:hideMark/>
          </w:tcPr>
          <w:p w14:paraId="5FE48E21"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5E2D7C80" w14:textId="77777777" w:rsidR="00A85A83" w:rsidRPr="00F1775E" w:rsidRDefault="00A85A83" w:rsidP="008F05F8">
            <w:pPr>
              <w:autoSpaceDE/>
              <w:autoSpaceDN/>
              <w:rPr>
                <w:lang w:eastAsia="et-EE"/>
              </w:rPr>
            </w:pPr>
          </w:p>
        </w:tc>
        <w:tc>
          <w:tcPr>
            <w:tcW w:w="7371" w:type="dxa"/>
            <w:shd w:val="clear" w:color="auto" w:fill="auto"/>
            <w:hideMark/>
          </w:tcPr>
          <w:p w14:paraId="120E25A7" w14:textId="623C396D"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140 001,00 – 160 000,99 eurot</w:t>
            </w:r>
          </w:p>
        </w:tc>
        <w:tc>
          <w:tcPr>
            <w:tcW w:w="992" w:type="dxa"/>
            <w:shd w:val="clear" w:color="auto" w:fill="auto"/>
            <w:vAlign w:val="center"/>
            <w:hideMark/>
          </w:tcPr>
          <w:p w14:paraId="43C72167" w14:textId="77777777" w:rsidR="00A85A83" w:rsidRPr="008D6352" w:rsidRDefault="00A85A83" w:rsidP="008F05F8">
            <w:pPr>
              <w:autoSpaceDE/>
              <w:autoSpaceDN/>
              <w:jc w:val="center"/>
              <w:rPr>
                <w:b/>
                <w:bCs/>
                <w:lang w:eastAsia="et-EE"/>
              </w:rPr>
            </w:pPr>
            <w:r w:rsidRPr="008D6352">
              <w:rPr>
                <w:b/>
                <w:bCs/>
                <w:lang w:eastAsia="et-EE"/>
              </w:rPr>
              <w:t>3</w:t>
            </w:r>
          </w:p>
        </w:tc>
      </w:tr>
      <w:tr w:rsidR="00A85A83" w:rsidRPr="00F1775E" w14:paraId="2AE89B3A" w14:textId="77777777" w:rsidTr="008F05F8">
        <w:trPr>
          <w:trHeight w:val="503"/>
        </w:trPr>
        <w:tc>
          <w:tcPr>
            <w:tcW w:w="851" w:type="dxa"/>
            <w:vMerge/>
            <w:shd w:val="clear" w:color="auto" w:fill="auto"/>
            <w:vAlign w:val="center"/>
            <w:hideMark/>
          </w:tcPr>
          <w:p w14:paraId="01E8F824" w14:textId="77777777" w:rsidR="00A85A83" w:rsidRPr="00AA6F7F" w:rsidRDefault="00A85A83" w:rsidP="008F05F8">
            <w:pPr>
              <w:autoSpaceDE/>
              <w:autoSpaceDN/>
              <w:rPr>
                <w:b/>
                <w:bCs/>
                <w:sz w:val="48"/>
                <w:szCs w:val="48"/>
                <w:lang w:eastAsia="et-EE"/>
              </w:rPr>
            </w:pPr>
          </w:p>
        </w:tc>
        <w:tc>
          <w:tcPr>
            <w:tcW w:w="709" w:type="dxa"/>
            <w:shd w:val="clear" w:color="auto" w:fill="auto"/>
            <w:noWrap/>
            <w:vAlign w:val="center"/>
            <w:hideMark/>
          </w:tcPr>
          <w:p w14:paraId="618440F6" w14:textId="3B740063" w:rsidR="00A85A83" w:rsidRPr="00A31E5E" w:rsidRDefault="00A85A83" w:rsidP="008F05F8">
            <w:pPr>
              <w:autoSpaceDE/>
              <w:autoSpaceDN/>
              <w:jc w:val="center"/>
              <w:rPr>
                <w:b/>
                <w:bCs/>
                <w:lang w:eastAsia="et-EE"/>
              </w:rPr>
            </w:pPr>
            <w:r w:rsidRPr="00A31E5E">
              <w:rPr>
                <w:b/>
                <w:bCs/>
                <w:lang w:eastAsia="et-EE"/>
              </w:rPr>
              <w:t>48</w:t>
            </w:r>
          </w:p>
        </w:tc>
        <w:tc>
          <w:tcPr>
            <w:tcW w:w="1418" w:type="dxa"/>
            <w:vMerge/>
            <w:shd w:val="clear" w:color="auto" w:fill="DBE5F1" w:themeFill="accent1" w:themeFillTint="33"/>
            <w:vAlign w:val="center"/>
            <w:hideMark/>
          </w:tcPr>
          <w:p w14:paraId="29BD0CF0" w14:textId="77777777" w:rsidR="00A85A83" w:rsidRPr="00A733B7" w:rsidRDefault="00A85A83" w:rsidP="008F05F8">
            <w:pPr>
              <w:autoSpaceDE/>
              <w:autoSpaceDN/>
              <w:rPr>
                <w:bCs/>
                <w:lang w:eastAsia="et-EE"/>
              </w:rPr>
            </w:pPr>
          </w:p>
        </w:tc>
        <w:tc>
          <w:tcPr>
            <w:tcW w:w="2835" w:type="dxa"/>
            <w:vMerge/>
            <w:shd w:val="clear" w:color="auto" w:fill="auto"/>
            <w:vAlign w:val="center"/>
            <w:hideMark/>
          </w:tcPr>
          <w:p w14:paraId="54A62F6C" w14:textId="77777777" w:rsidR="00A85A83" w:rsidRPr="00F1775E" w:rsidRDefault="00A85A83" w:rsidP="008F05F8">
            <w:pPr>
              <w:autoSpaceDE/>
              <w:autoSpaceDN/>
              <w:rPr>
                <w:lang w:eastAsia="et-EE"/>
              </w:rPr>
            </w:pPr>
          </w:p>
        </w:tc>
        <w:tc>
          <w:tcPr>
            <w:tcW w:w="7371" w:type="dxa"/>
            <w:shd w:val="clear" w:color="auto" w:fill="auto"/>
            <w:hideMark/>
          </w:tcPr>
          <w:p w14:paraId="06763315" w14:textId="5FA1E207"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160 001,00 – 180 000,99 eurot</w:t>
            </w:r>
          </w:p>
        </w:tc>
        <w:tc>
          <w:tcPr>
            <w:tcW w:w="992" w:type="dxa"/>
            <w:shd w:val="clear" w:color="auto" w:fill="auto"/>
            <w:vAlign w:val="center"/>
            <w:hideMark/>
          </w:tcPr>
          <w:p w14:paraId="7F924EDE" w14:textId="77777777" w:rsidR="00A85A83" w:rsidRPr="00A31E5E" w:rsidRDefault="00A85A83" w:rsidP="008F05F8">
            <w:pPr>
              <w:autoSpaceDE/>
              <w:autoSpaceDN/>
              <w:jc w:val="center"/>
              <w:rPr>
                <w:b/>
                <w:bCs/>
                <w:lang w:eastAsia="et-EE"/>
              </w:rPr>
            </w:pPr>
            <w:r w:rsidRPr="00A31E5E">
              <w:rPr>
                <w:b/>
                <w:bCs/>
                <w:lang w:eastAsia="et-EE"/>
              </w:rPr>
              <w:t>2</w:t>
            </w:r>
          </w:p>
        </w:tc>
      </w:tr>
      <w:tr w:rsidR="00A85A83" w:rsidRPr="00F1775E" w14:paraId="751C880D" w14:textId="77777777" w:rsidTr="003300B9">
        <w:trPr>
          <w:trHeight w:val="546"/>
        </w:trPr>
        <w:tc>
          <w:tcPr>
            <w:tcW w:w="851" w:type="dxa"/>
            <w:vMerge/>
            <w:tcBorders>
              <w:bottom w:val="single" w:sz="4" w:space="0" w:color="7F7F7F" w:themeColor="text1" w:themeTint="80"/>
            </w:tcBorders>
            <w:shd w:val="clear" w:color="auto" w:fill="auto"/>
            <w:vAlign w:val="center"/>
            <w:hideMark/>
          </w:tcPr>
          <w:p w14:paraId="3897CE39" w14:textId="77777777" w:rsidR="00A85A83" w:rsidRPr="00AA6F7F" w:rsidRDefault="00A85A83" w:rsidP="008F05F8">
            <w:pPr>
              <w:autoSpaceDE/>
              <w:autoSpaceDN/>
              <w:rPr>
                <w:b/>
                <w:bCs/>
                <w:sz w:val="48"/>
                <w:szCs w:val="48"/>
                <w:lang w:eastAsia="et-EE"/>
              </w:rPr>
            </w:pPr>
          </w:p>
        </w:tc>
        <w:tc>
          <w:tcPr>
            <w:tcW w:w="709" w:type="dxa"/>
            <w:tcBorders>
              <w:bottom w:val="single" w:sz="4" w:space="0" w:color="7F7F7F" w:themeColor="text1" w:themeTint="80"/>
            </w:tcBorders>
            <w:shd w:val="clear" w:color="auto" w:fill="auto"/>
            <w:noWrap/>
            <w:vAlign w:val="center"/>
            <w:hideMark/>
          </w:tcPr>
          <w:p w14:paraId="32CF257E" w14:textId="60690D91" w:rsidR="00A85A83" w:rsidRPr="00A31E5E" w:rsidRDefault="00A85A83" w:rsidP="008F05F8">
            <w:pPr>
              <w:autoSpaceDE/>
              <w:autoSpaceDN/>
              <w:jc w:val="center"/>
              <w:rPr>
                <w:b/>
                <w:bCs/>
                <w:lang w:eastAsia="et-EE"/>
              </w:rPr>
            </w:pPr>
            <w:r w:rsidRPr="00A31E5E">
              <w:rPr>
                <w:b/>
                <w:bCs/>
                <w:lang w:eastAsia="et-EE"/>
              </w:rPr>
              <w:t>49</w:t>
            </w:r>
          </w:p>
        </w:tc>
        <w:tc>
          <w:tcPr>
            <w:tcW w:w="1418" w:type="dxa"/>
            <w:vMerge/>
            <w:tcBorders>
              <w:bottom w:val="single" w:sz="4" w:space="0" w:color="7F7F7F" w:themeColor="text1" w:themeTint="80"/>
            </w:tcBorders>
            <w:shd w:val="clear" w:color="auto" w:fill="DBE5F1" w:themeFill="accent1" w:themeFillTint="33"/>
            <w:vAlign w:val="center"/>
            <w:hideMark/>
          </w:tcPr>
          <w:p w14:paraId="4FDE22DF" w14:textId="77777777" w:rsidR="00A85A83" w:rsidRPr="00A733B7" w:rsidRDefault="00A85A83" w:rsidP="008F05F8">
            <w:pPr>
              <w:autoSpaceDE/>
              <w:autoSpaceDN/>
              <w:rPr>
                <w:bCs/>
                <w:lang w:eastAsia="et-EE"/>
              </w:rPr>
            </w:pPr>
          </w:p>
        </w:tc>
        <w:tc>
          <w:tcPr>
            <w:tcW w:w="2835" w:type="dxa"/>
            <w:vMerge/>
            <w:tcBorders>
              <w:bottom w:val="single" w:sz="4" w:space="0" w:color="7F7F7F" w:themeColor="text1" w:themeTint="80"/>
            </w:tcBorders>
            <w:shd w:val="clear" w:color="auto" w:fill="auto"/>
            <w:vAlign w:val="center"/>
            <w:hideMark/>
          </w:tcPr>
          <w:p w14:paraId="17ECA586" w14:textId="77777777" w:rsidR="00A85A83" w:rsidRPr="00F1775E" w:rsidRDefault="00A85A83" w:rsidP="008F05F8">
            <w:pPr>
              <w:autoSpaceDE/>
              <w:autoSpaceDN/>
              <w:rPr>
                <w:lang w:eastAsia="et-EE"/>
              </w:rPr>
            </w:pPr>
          </w:p>
        </w:tc>
        <w:tc>
          <w:tcPr>
            <w:tcW w:w="7371" w:type="dxa"/>
            <w:tcBorders>
              <w:bottom w:val="single" w:sz="4" w:space="0" w:color="7F7F7F" w:themeColor="text1" w:themeTint="80"/>
            </w:tcBorders>
            <w:shd w:val="clear" w:color="auto" w:fill="auto"/>
            <w:hideMark/>
          </w:tcPr>
          <w:p w14:paraId="6C96B75B" w14:textId="11150094" w:rsidR="00A85A83" w:rsidRPr="00F21B5D" w:rsidRDefault="00A85A83" w:rsidP="007828CB">
            <w:pPr>
              <w:autoSpaceDE/>
              <w:autoSpaceDN/>
              <w:jc w:val="both"/>
              <w:rPr>
                <w:lang w:eastAsia="et-EE"/>
              </w:rPr>
            </w:pPr>
            <w:r w:rsidRPr="00F21B5D">
              <w:rPr>
                <w:lang w:eastAsia="et-EE"/>
              </w:rPr>
              <w:t>Ettevõtja taotluse esitamisele vahetult eelnenud kahe majandusaasta keskmine müügitulu oli 180 001,00 – 200 000,00 eurot</w:t>
            </w:r>
          </w:p>
        </w:tc>
        <w:tc>
          <w:tcPr>
            <w:tcW w:w="992" w:type="dxa"/>
            <w:tcBorders>
              <w:bottom w:val="single" w:sz="4" w:space="0" w:color="7F7F7F" w:themeColor="text1" w:themeTint="80"/>
            </w:tcBorders>
            <w:shd w:val="clear" w:color="auto" w:fill="auto"/>
            <w:vAlign w:val="center"/>
            <w:hideMark/>
          </w:tcPr>
          <w:p w14:paraId="6D05084E" w14:textId="77777777" w:rsidR="00A85A83" w:rsidRPr="00125F72" w:rsidRDefault="00A85A83" w:rsidP="008F05F8">
            <w:pPr>
              <w:autoSpaceDE/>
              <w:autoSpaceDN/>
              <w:jc w:val="center"/>
              <w:rPr>
                <w:b/>
                <w:bCs/>
                <w:lang w:eastAsia="et-EE"/>
              </w:rPr>
            </w:pPr>
            <w:r w:rsidRPr="00125F72">
              <w:rPr>
                <w:b/>
                <w:bCs/>
                <w:lang w:eastAsia="et-EE"/>
              </w:rPr>
              <w:t>1</w:t>
            </w:r>
          </w:p>
        </w:tc>
      </w:tr>
      <w:tr w:rsidR="008F05F8" w:rsidRPr="00F1775E" w14:paraId="630C2A67" w14:textId="77777777" w:rsidTr="003300B9">
        <w:trPr>
          <w:trHeight w:val="552"/>
        </w:trPr>
        <w:tc>
          <w:tcPr>
            <w:tcW w:w="851" w:type="dxa"/>
            <w:tcBorders>
              <w:top w:val="nil"/>
              <w:bottom w:val="nil"/>
            </w:tcBorders>
            <w:shd w:val="clear" w:color="auto" w:fill="auto"/>
            <w:noWrap/>
            <w:vAlign w:val="bottom"/>
          </w:tcPr>
          <w:p w14:paraId="4B00C0FA" w14:textId="77777777" w:rsidR="008F05F8" w:rsidRPr="00EC7A18" w:rsidRDefault="008F05F8" w:rsidP="008F05F8">
            <w:pPr>
              <w:autoSpaceDE/>
              <w:autoSpaceDN/>
              <w:rPr>
                <w:sz w:val="20"/>
                <w:szCs w:val="20"/>
                <w:lang w:eastAsia="et-EE"/>
              </w:rPr>
            </w:pPr>
          </w:p>
        </w:tc>
        <w:tc>
          <w:tcPr>
            <w:tcW w:w="70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76F823B0" w14:textId="6DC3F133" w:rsidR="008F05F8" w:rsidRPr="00F21B5D" w:rsidRDefault="008F05F8" w:rsidP="008F05F8">
            <w:pPr>
              <w:autoSpaceDE/>
              <w:autoSpaceDN/>
              <w:spacing w:before="120" w:after="120"/>
              <w:contextualSpacing/>
              <w:jc w:val="center"/>
              <w:rPr>
                <w:b/>
                <w:bCs/>
                <w:lang w:eastAsia="et-EE"/>
              </w:rPr>
            </w:pPr>
            <w:r w:rsidRPr="00F21B5D">
              <w:rPr>
                <w:b/>
                <w:bCs/>
                <w:lang w:eastAsia="et-EE"/>
              </w:rPr>
              <w:t>50</w:t>
            </w:r>
          </w:p>
        </w:tc>
        <w:tc>
          <w:tcPr>
            <w:tcW w:w="116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7E1438" w14:textId="11091DA7" w:rsidR="008F05F8" w:rsidRPr="003300B9" w:rsidRDefault="008F05F8" w:rsidP="008F05F8">
            <w:pPr>
              <w:autoSpaceDE/>
              <w:autoSpaceDN/>
              <w:spacing w:before="120" w:after="120"/>
              <w:contextualSpacing/>
              <w:jc w:val="both"/>
              <w:rPr>
                <w:bCs/>
                <w:lang w:eastAsia="et-EE"/>
              </w:rPr>
            </w:pPr>
            <w:r w:rsidRPr="003300B9">
              <w:rPr>
                <w:bCs/>
                <w:lang w:eastAsia="et-EE"/>
              </w:rPr>
              <w:t>Maksimaal</w:t>
            </w:r>
            <w:r w:rsidR="006310A3" w:rsidRPr="003300B9">
              <w:rPr>
                <w:bCs/>
                <w:lang w:eastAsia="et-EE"/>
              </w:rPr>
              <w:t>ne</w:t>
            </w:r>
            <w:r w:rsidRPr="003300B9">
              <w:rPr>
                <w:bCs/>
                <w:lang w:eastAsia="et-EE"/>
              </w:rPr>
              <w:t xml:space="preserve"> hindepunktid</w:t>
            </w:r>
            <w:r w:rsidR="006310A3" w:rsidRPr="003300B9">
              <w:rPr>
                <w:bCs/>
                <w:lang w:eastAsia="et-EE"/>
              </w:rPr>
              <w:t>e summa</w:t>
            </w:r>
            <w:r w:rsidRPr="003300B9">
              <w:rPr>
                <w:bCs/>
                <w:lang w:eastAsia="et-EE"/>
              </w:rPr>
              <w:t xml:space="preserve"> põllumajandustootja taotluse puhul (hindamiskriteeriumid 1–14) </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DA76CC" w14:textId="595A808C" w:rsidR="008F05F8" w:rsidRPr="00F21B5D" w:rsidRDefault="008F05F8" w:rsidP="008F05F8">
            <w:pPr>
              <w:autoSpaceDE/>
              <w:autoSpaceDN/>
              <w:spacing w:before="120" w:after="120"/>
              <w:contextualSpacing/>
              <w:jc w:val="center"/>
              <w:rPr>
                <w:b/>
                <w:bCs/>
                <w:lang w:eastAsia="et-EE"/>
              </w:rPr>
            </w:pPr>
            <w:r w:rsidRPr="00F21B5D">
              <w:rPr>
                <w:b/>
                <w:bCs/>
                <w:lang w:eastAsia="et-EE"/>
              </w:rPr>
              <w:t>82</w:t>
            </w:r>
          </w:p>
        </w:tc>
      </w:tr>
      <w:tr w:rsidR="008F05F8" w:rsidRPr="00F21B5D" w14:paraId="7C08D75B" w14:textId="77777777" w:rsidTr="003300B9">
        <w:trPr>
          <w:trHeight w:val="552"/>
        </w:trPr>
        <w:tc>
          <w:tcPr>
            <w:tcW w:w="851" w:type="dxa"/>
            <w:tcBorders>
              <w:top w:val="nil"/>
              <w:bottom w:val="nil"/>
            </w:tcBorders>
            <w:shd w:val="clear" w:color="auto" w:fill="auto"/>
            <w:noWrap/>
            <w:vAlign w:val="bottom"/>
          </w:tcPr>
          <w:p w14:paraId="64C39765" w14:textId="77777777" w:rsidR="008F05F8" w:rsidRPr="00EC7A18" w:rsidRDefault="008F05F8" w:rsidP="008F05F8">
            <w:pPr>
              <w:autoSpaceDE/>
              <w:autoSpaceDN/>
              <w:rPr>
                <w:sz w:val="20"/>
                <w:szCs w:val="20"/>
                <w:lang w:eastAsia="et-EE"/>
              </w:rPr>
            </w:pPr>
          </w:p>
        </w:tc>
        <w:tc>
          <w:tcPr>
            <w:tcW w:w="70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3E93DFB3" w14:textId="25C34757" w:rsidR="008F05F8" w:rsidRPr="00F21B5D" w:rsidRDefault="008F05F8" w:rsidP="008F05F8">
            <w:pPr>
              <w:autoSpaceDE/>
              <w:autoSpaceDN/>
              <w:spacing w:before="120" w:after="120"/>
              <w:contextualSpacing/>
              <w:jc w:val="center"/>
              <w:rPr>
                <w:b/>
                <w:bCs/>
                <w:lang w:eastAsia="et-EE"/>
              </w:rPr>
            </w:pPr>
            <w:r w:rsidRPr="00F21B5D">
              <w:rPr>
                <w:b/>
                <w:bCs/>
                <w:lang w:eastAsia="et-EE"/>
              </w:rPr>
              <w:t>51</w:t>
            </w:r>
          </w:p>
        </w:tc>
        <w:tc>
          <w:tcPr>
            <w:tcW w:w="116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F99FFB" w14:textId="4F94ACDF" w:rsidR="008F05F8" w:rsidRPr="003300B9" w:rsidRDefault="008F05F8" w:rsidP="008F05F8">
            <w:pPr>
              <w:autoSpaceDE/>
              <w:autoSpaceDN/>
              <w:spacing w:before="120" w:after="120"/>
              <w:contextualSpacing/>
              <w:jc w:val="both"/>
              <w:rPr>
                <w:bCs/>
                <w:lang w:eastAsia="et-EE"/>
              </w:rPr>
            </w:pPr>
            <w:r w:rsidRPr="003300B9">
              <w:rPr>
                <w:bCs/>
                <w:lang w:eastAsia="et-EE"/>
              </w:rPr>
              <w:t>Maksimaal</w:t>
            </w:r>
            <w:r w:rsidR="006310A3" w:rsidRPr="003300B9">
              <w:rPr>
                <w:bCs/>
                <w:lang w:eastAsia="et-EE"/>
              </w:rPr>
              <w:t>ne</w:t>
            </w:r>
            <w:r w:rsidRPr="003300B9">
              <w:rPr>
                <w:bCs/>
                <w:lang w:eastAsia="et-EE"/>
              </w:rPr>
              <w:t xml:space="preserve"> hindepunktid</w:t>
            </w:r>
            <w:r w:rsidR="006310A3" w:rsidRPr="003300B9">
              <w:rPr>
                <w:bCs/>
                <w:lang w:eastAsia="et-EE"/>
              </w:rPr>
              <w:t>e summa</w:t>
            </w:r>
            <w:r w:rsidRPr="003300B9">
              <w:rPr>
                <w:bCs/>
                <w:lang w:eastAsia="et-EE"/>
              </w:rPr>
              <w:t xml:space="preserve"> avaliku sektori põllumajandusettevõtja taotluse puhul enne hindepunktide tasakaalustamist (hindamiskriteeriumid 1– 3, 5–8)</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7B44BE" w14:textId="27E73257" w:rsidR="008F05F8" w:rsidRPr="00F21B5D" w:rsidRDefault="00A24A3F" w:rsidP="008F05F8">
            <w:pPr>
              <w:autoSpaceDE/>
              <w:autoSpaceDN/>
              <w:spacing w:before="120" w:after="120"/>
              <w:contextualSpacing/>
              <w:jc w:val="center"/>
              <w:rPr>
                <w:b/>
                <w:bCs/>
                <w:lang w:eastAsia="et-EE"/>
              </w:rPr>
            </w:pPr>
            <w:r w:rsidRPr="00F21B5D">
              <w:rPr>
                <w:b/>
                <w:bCs/>
                <w:lang w:eastAsia="et-EE"/>
              </w:rPr>
              <w:t>54</w:t>
            </w:r>
          </w:p>
        </w:tc>
      </w:tr>
      <w:tr w:rsidR="008F05F8" w:rsidRPr="00957ABC" w14:paraId="3AFC52CF" w14:textId="77777777" w:rsidTr="003300B9">
        <w:trPr>
          <w:trHeight w:val="552"/>
        </w:trPr>
        <w:tc>
          <w:tcPr>
            <w:tcW w:w="851" w:type="dxa"/>
            <w:tcBorders>
              <w:top w:val="nil"/>
              <w:bottom w:val="nil"/>
            </w:tcBorders>
            <w:shd w:val="clear" w:color="auto" w:fill="auto"/>
            <w:noWrap/>
            <w:vAlign w:val="bottom"/>
          </w:tcPr>
          <w:p w14:paraId="7A3AAFF2" w14:textId="77777777" w:rsidR="008F05F8" w:rsidRPr="00EC7A18" w:rsidRDefault="008F05F8" w:rsidP="008F05F8">
            <w:pPr>
              <w:autoSpaceDE/>
              <w:autoSpaceDN/>
              <w:rPr>
                <w:sz w:val="20"/>
                <w:szCs w:val="20"/>
                <w:lang w:eastAsia="et-EE"/>
              </w:rPr>
            </w:pPr>
          </w:p>
        </w:tc>
        <w:tc>
          <w:tcPr>
            <w:tcW w:w="70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387CDAB7" w14:textId="15B8BFCE" w:rsidR="008F05F8" w:rsidRPr="00F21B5D" w:rsidRDefault="008F05F8" w:rsidP="008F05F8">
            <w:pPr>
              <w:autoSpaceDE/>
              <w:autoSpaceDN/>
              <w:spacing w:before="120" w:after="120"/>
              <w:contextualSpacing/>
              <w:jc w:val="center"/>
              <w:rPr>
                <w:b/>
                <w:bCs/>
                <w:lang w:eastAsia="et-EE"/>
              </w:rPr>
            </w:pPr>
            <w:r w:rsidRPr="00F21B5D">
              <w:rPr>
                <w:b/>
                <w:bCs/>
                <w:lang w:eastAsia="et-EE"/>
              </w:rPr>
              <w:t>52</w:t>
            </w:r>
          </w:p>
        </w:tc>
        <w:tc>
          <w:tcPr>
            <w:tcW w:w="116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DF6570" w14:textId="4D388F61" w:rsidR="008F05F8" w:rsidRPr="003300B9" w:rsidRDefault="008F05F8" w:rsidP="00A7754B">
            <w:pPr>
              <w:autoSpaceDE/>
              <w:autoSpaceDN/>
              <w:spacing w:before="120" w:after="120"/>
              <w:contextualSpacing/>
              <w:jc w:val="both"/>
              <w:rPr>
                <w:bCs/>
                <w:lang w:eastAsia="et-EE"/>
              </w:rPr>
            </w:pPr>
            <w:r w:rsidRPr="003300B9">
              <w:rPr>
                <w:bCs/>
                <w:lang w:eastAsia="et-EE"/>
              </w:rPr>
              <w:t>Maksimaal</w:t>
            </w:r>
            <w:r w:rsidR="006310A3" w:rsidRPr="003300B9">
              <w:rPr>
                <w:bCs/>
                <w:lang w:eastAsia="et-EE"/>
              </w:rPr>
              <w:t>ne</w:t>
            </w:r>
            <w:r w:rsidRPr="003300B9">
              <w:rPr>
                <w:bCs/>
                <w:lang w:eastAsia="et-EE"/>
              </w:rPr>
              <w:t xml:space="preserve"> hindepunktid</w:t>
            </w:r>
            <w:r w:rsidR="006310A3" w:rsidRPr="003300B9">
              <w:rPr>
                <w:bCs/>
                <w:lang w:eastAsia="et-EE"/>
              </w:rPr>
              <w:t>e summa</w:t>
            </w:r>
            <w:r w:rsidRPr="003300B9">
              <w:rPr>
                <w:bCs/>
                <w:lang w:eastAsia="et-EE"/>
              </w:rPr>
              <w:t xml:space="preserve"> avaliku sektori põllumajandusettevõtja taotluse puhul </w:t>
            </w:r>
            <w:r w:rsidR="006A019D" w:rsidRPr="003300B9">
              <w:rPr>
                <w:bCs/>
                <w:lang w:eastAsia="et-EE"/>
              </w:rPr>
              <w:t xml:space="preserve">pärast </w:t>
            </w:r>
            <w:r w:rsidRPr="003300B9">
              <w:rPr>
                <w:bCs/>
                <w:lang w:eastAsia="et-EE"/>
              </w:rPr>
              <w:t>hindepunktide tasakaalustamist</w:t>
            </w:r>
            <w:r w:rsidRPr="003300B9">
              <w:rPr>
                <w:rStyle w:val="EndnoteReference"/>
                <w:bCs/>
                <w:lang w:eastAsia="et-EE"/>
              </w:rPr>
              <w:t>3</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D43540E" w14:textId="731E22CF" w:rsidR="008F05F8" w:rsidRPr="00F21B5D" w:rsidRDefault="0014738F" w:rsidP="008F05F8">
            <w:pPr>
              <w:autoSpaceDE/>
              <w:autoSpaceDN/>
              <w:spacing w:before="120" w:after="120"/>
              <w:contextualSpacing/>
              <w:jc w:val="center"/>
              <w:rPr>
                <w:b/>
                <w:bCs/>
                <w:lang w:eastAsia="et-EE"/>
              </w:rPr>
            </w:pPr>
            <w:r w:rsidRPr="00F21B5D">
              <w:rPr>
                <w:b/>
                <w:bCs/>
                <w:lang w:eastAsia="et-EE"/>
              </w:rPr>
              <w:t>82</w:t>
            </w:r>
          </w:p>
        </w:tc>
      </w:tr>
      <w:tr w:rsidR="008F05F8" w:rsidRPr="00F1775E" w14:paraId="01EEED74" w14:textId="77777777" w:rsidTr="003300B9">
        <w:trPr>
          <w:trHeight w:val="552"/>
        </w:trPr>
        <w:tc>
          <w:tcPr>
            <w:tcW w:w="851" w:type="dxa"/>
            <w:tcBorders>
              <w:top w:val="nil"/>
              <w:bottom w:val="nil"/>
            </w:tcBorders>
            <w:shd w:val="clear" w:color="auto" w:fill="auto"/>
            <w:noWrap/>
            <w:vAlign w:val="bottom"/>
          </w:tcPr>
          <w:p w14:paraId="4413A82F" w14:textId="77777777" w:rsidR="008F05F8" w:rsidRPr="00EC7A18" w:rsidRDefault="008F05F8" w:rsidP="008F05F8">
            <w:pPr>
              <w:autoSpaceDE/>
              <w:autoSpaceDN/>
              <w:rPr>
                <w:sz w:val="20"/>
                <w:szCs w:val="20"/>
                <w:lang w:eastAsia="et-EE"/>
              </w:rPr>
            </w:pPr>
          </w:p>
        </w:tc>
        <w:tc>
          <w:tcPr>
            <w:tcW w:w="70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4127F934" w14:textId="0DE15807" w:rsidR="008F05F8" w:rsidRPr="00F21B5D" w:rsidRDefault="008F05F8" w:rsidP="008F05F8">
            <w:pPr>
              <w:autoSpaceDE/>
              <w:autoSpaceDN/>
              <w:spacing w:before="120" w:after="120"/>
              <w:contextualSpacing/>
              <w:jc w:val="center"/>
              <w:rPr>
                <w:b/>
                <w:bCs/>
                <w:lang w:eastAsia="et-EE"/>
              </w:rPr>
            </w:pPr>
            <w:r w:rsidRPr="00F21B5D">
              <w:rPr>
                <w:b/>
                <w:bCs/>
                <w:lang w:eastAsia="et-EE"/>
              </w:rPr>
              <w:t>53</w:t>
            </w:r>
          </w:p>
        </w:tc>
        <w:tc>
          <w:tcPr>
            <w:tcW w:w="116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900979" w14:textId="18FACB94" w:rsidR="008F05F8" w:rsidRPr="003300B9" w:rsidRDefault="008F05F8" w:rsidP="008F05F8">
            <w:pPr>
              <w:autoSpaceDE/>
              <w:autoSpaceDN/>
              <w:spacing w:before="120" w:after="120"/>
              <w:contextualSpacing/>
              <w:jc w:val="both"/>
              <w:rPr>
                <w:bCs/>
                <w:lang w:eastAsia="et-EE"/>
              </w:rPr>
            </w:pPr>
            <w:r w:rsidRPr="003300B9">
              <w:rPr>
                <w:bCs/>
                <w:lang w:eastAsia="et-EE"/>
              </w:rPr>
              <w:t>Maksimaal</w:t>
            </w:r>
            <w:r w:rsidR="006310A3" w:rsidRPr="003300B9">
              <w:rPr>
                <w:bCs/>
                <w:lang w:eastAsia="et-EE"/>
              </w:rPr>
              <w:t>ne</w:t>
            </w:r>
            <w:r w:rsidRPr="003300B9">
              <w:rPr>
                <w:bCs/>
                <w:lang w:eastAsia="et-EE"/>
              </w:rPr>
              <w:t xml:space="preserve"> hindepunktid</w:t>
            </w:r>
            <w:r w:rsidR="006310A3" w:rsidRPr="003300B9">
              <w:rPr>
                <w:bCs/>
                <w:lang w:eastAsia="et-EE"/>
              </w:rPr>
              <w:t>e summa</w:t>
            </w:r>
            <w:r w:rsidRPr="003300B9">
              <w:rPr>
                <w:bCs/>
                <w:lang w:eastAsia="et-EE"/>
              </w:rPr>
              <w:t xml:space="preserve"> põllumajandusvaldkonna muuseumi taotluse puhul enne hindepunktide tasakaalustamist (hindamiskriteeriumid 1–3, 5, 7–8)</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C828AB" w14:textId="581BA5B1" w:rsidR="008F05F8" w:rsidRPr="003D55F7" w:rsidRDefault="0014738F" w:rsidP="008F05F8">
            <w:pPr>
              <w:autoSpaceDE/>
              <w:autoSpaceDN/>
              <w:spacing w:before="120" w:after="120"/>
              <w:contextualSpacing/>
              <w:jc w:val="center"/>
              <w:rPr>
                <w:b/>
                <w:bCs/>
                <w:lang w:eastAsia="et-EE"/>
              </w:rPr>
            </w:pPr>
            <w:r>
              <w:rPr>
                <w:b/>
                <w:bCs/>
                <w:lang w:eastAsia="et-EE"/>
              </w:rPr>
              <w:t>4</w:t>
            </w:r>
            <w:r w:rsidR="008F05F8" w:rsidRPr="00125F72">
              <w:rPr>
                <w:b/>
                <w:bCs/>
                <w:lang w:eastAsia="et-EE"/>
              </w:rPr>
              <w:t>2</w:t>
            </w:r>
          </w:p>
        </w:tc>
      </w:tr>
      <w:tr w:rsidR="008F05F8" w:rsidRPr="00F1775E" w14:paraId="3B2017D5" w14:textId="77777777" w:rsidTr="00077A0B">
        <w:trPr>
          <w:trHeight w:val="552"/>
        </w:trPr>
        <w:tc>
          <w:tcPr>
            <w:tcW w:w="851" w:type="dxa"/>
            <w:tcBorders>
              <w:top w:val="nil"/>
              <w:bottom w:val="nil"/>
            </w:tcBorders>
            <w:shd w:val="clear" w:color="auto" w:fill="auto"/>
            <w:noWrap/>
            <w:vAlign w:val="bottom"/>
          </w:tcPr>
          <w:p w14:paraId="262B2C78" w14:textId="77777777" w:rsidR="008F05F8" w:rsidRPr="00EC7A18" w:rsidRDefault="008F05F8" w:rsidP="008F05F8">
            <w:pPr>
              <w:autoSpaceDE/>
              <w:autoSpaceDN/>
              <w:rPr>
                <w:sz w:val="20"/>
                <w:szCs w:val="20"/>
                <w:lang w:eastAsia="et-EE"/>
              </w:rPr>
            </w:pPr>
          </w:p>
        </w:tc>
        <w:tc>
          <w:tcPr>
            <w:tcW w:w="70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6155C00C" w14:textId="6860A7BB" w:rsidR="008F05F8" w:rsidRPr="00F21B5D" w:rsidRDefault="008F05F8" w:rsidP="008F05F8">
            <w:pPr>
              <w:autoSpaceDE/>
              <w:autoSpaceDN/>
              <w:spacing w:before="120" w:after="120"/>
              <w:contextualSpacing/>
              <w:jc w:val="center"/>
              <w:rPr>
                <w:b/>
                <w:bCs/>
                <w:lang w:eastAsia="et-EE"/>
              </w:rPr>
            </w:pPr>
            <w:r w:rsidRPr="00F21B5D">
              <w:rPr>
                <w:b/>
                <w:bCs/>
                <w:lang w:eastAsia="et-EE"/>
              </w:rPr>
              <w:t>54</w:t>
            </w:r>
          </w:p>
        </w:tc>
        <w:tc>
          <w:tcPr>
            <w:tcW w:w="116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B57F00" w14:textId="45443437" w:rsidR="008F05F8" w:rsidRPr="003300B9" w:rsidRDefault="008F05F8" w:rsidP="00A7754B">
            <w:pPr>
              <w:autoSpaceDE/>
              <w:autoSpaceDN/>
              <w:spacing w:before="120" w:after="120"/>
              <w:contextualSpacing/>
              <w:jc w:val="both"/>
              <w:rPr>
                <w:bCs/>
                <w:lang w:eastAsia="et-EE"/>
              </w:rPr>
            </w:pPr>
            <w:r w:rsidRPr="003300B9">
              <w:rPr>
                <w:bCs/>
                <w:lang w:eastAsia="et-EE"/>
              </w:rPr>
              <w:t>Maksimaal</w:t>
            </w:r>
            <w:r w:rsidR="006310A3" w:rsidRPr="003300B9">
              <w:rPr>
                <w:bCs/>
                <w:lang w:eastAsia="et-EE"/>
              </w:rPr>
              <w:t>ne</w:t>
            </w:r>
            <w:r w:rsidRPr="003300B9">
              <w:rPr>
                <w:bCs/>
                <w:lang w:eastAsia="et-EE"/>
              </w:rPr>
              <w:t xml:space="preserve"> hindepunktid</w:t>
            </w:r>
            <w:r w:rsidR="006310A3" w:rsidRPr="003300B9">
              <w:rPr>
                <w:bCs/>
                <w:lang w:eastAsia="et-EE"/>
              </w:rPr>
              <w:t>e summa</w:t>
            </w:r>
            <w:r w:rsidRPr="003300B9">
              <w:rPr>
                <w:bCs/>
                <w:lang w:eastAsia="et-EE"/>
              </w:rPr>
              <w:t xml:space="preserve"> põllumajandusvaldkonna muuseumi taotluse puhul </w:t>
            </w:r>
            <w:r w:rsidR="006A019D" w:rsidRPr="003300B9">
              <w:rPr>
                <w:bCs/>
                <w:lang w:eastAsia="et-EE"/>
              </w:rPr>
              <w:t xml:space="preserve">pärast </w:t>
            </w:r>
            <w:r w:rsidRPr="003300B9">
              <w:rPr>
                <w:bCs/>
                <w:lang w:eastAsia="et-EE"/>
              </w:rPr>
              <w:t>hindepunktide tasakaalustamist</w:t>
            </w:r>
            <w:r w:rsidRPr="003300B9">
              <w:rPr>
                <w:rStyle w:val="EndnoteReference"/>
                <w:bCs/>
                <w:lang w:eastAsia="et-EE"/>
              </w:rPr>
              <w:t>4</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D5F965" w14:textId="7F483854" w:rsidR="008F05F8" w:rsidRPr="003D55F7" w:rsidRDefault="0014738F" w:rsidP="008F05F8">
            <w:pPr>
              <w:autoSpaceDE/>
              <w:autoSpaceDN/>
              <w:spacing w:before="120" w:after="120"/>
              <w:contextualSpacing/>
              <w:jc w:val="center"/>
              <w:rPr>
                <w:b/>
                <w:bCs/>
                <w:lang w:eastAsia="et-EE"/>
              </w:rPr>
            </w:pPr>
            <w:r>
              <w:rPr>
                <w:b/>
                <w:bCs/>
                <w:lang w:eastAsia="et-EE"/>
              </w:rPr>
              <w:t>8</w:t>
            </w:r>
            <w:r w:rsidR="008F05F8" w:rsidRPr="003D55F7">
              <w:rPr>
                <w:b/>
                <w:bCs/>
                <w:lang w:eastAsia="et-EE"/>
              </w:rPr>
              <w:t>2</w:t>
            </w:r>
          </w:p>
        </w:tc>
      </w:tr>
      <w:tr w:rsidR="008F05F8" w:rsidRPr="00F1775E" w14:paraId="003E8B68" w14:textId="77777777" w:rsidTr="00077A0B">
        <w:trPr>
          <w:trHeight w:val="552"/>
        </w:trPr>
        <w:tc>
          <w:tcPr>
            <w:tcW w:w="851" w:type="dxa"/>
            <w:tcBorders>
              <w:top w:val="nil"/>
              <w:bottom w:val="nil"/>
            </w:tcBorders>
            <w:shd w:val="clear" w:color="auto" w:fill="auto"/>
            <w:noWrap/>
            <w:vAlign w:val="bottom"/>
            <w:hideMark/>
          </w:tcPr>
          <w:p w14:paraId="7D01B21A" w14:textId="77777777" w:rsidR="008F05F8" w:rsidRPr="00EC7A18" w:rsidRDefault="008F05F8" w:rsidP="008F05F8">
            <w:pPr>
              <w:autoSpaceDE/>
              <w:autoSpaceDN/>
              <w:rPr>
                <w:sz w:val="20"/>
                <w:szCs w:val="20"/>
                <w:lang w:eastAsia="et-EE"/>
              </w:rPr>
            </w:pPr>
          </w:p>
        </w:tc>
        <w:tc>
          <w:tcPr>
            <w:tcW w:w="70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51A86A8" w14:textId="6493F90C" w:rsidR="008F05F8" w:rsidRPr="00F21B5D" w:rsidRDefault="008F05F8" w:rsidP="008F05F8">
            <w:pPr>
              <w:autoSpaceDE/>
              <w:autoSpaceDN/>
              <w:spacing w:before="120" w:after="120"/>
              <w:contextualSpacing/>
              <w:jc w:val="center"/>
              <w:rPr>
                <w:b/>
                <w:bCs/>
                <w:lang w:eastAsia="et-EE"/>
              </w:rPr>
            </w:pPr>
            <w:r w:rsidRPr="00F21B5D">
              <w:rPr>
                <w:b/>
                <w:bCs/>
                <w:lang w:eastAsia="et-EE"/>
              </w:rPr>
              <w:t>55</w:t>
            </w:r>
          </w:p>
        </w:tc>
        <w:tc>
          <w:tcPr>
            <w:tcW w:w="1162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25ACB493" w14:textId="1BC61DC0" w:rsidR="008F05F8" w:rsidRPr="003300B9" w:rsidRDefault="008F05F8" w:rsidP="008F05F8">
            <w:pPr>
              <w:autoSpaceDE/>
              <w:autoSpaceDN/>
              <w:spacing w:before="120" w:after="120"/>
              <w:contextualSpacing/>
              <w:jc w:val="both"/>
              <w:rPr>
                <w:bCs/>
                <w:lang w:eastAsia="et-EE"/>
              </w:rPr>
            </w:pPr>
            <w:r w:rsidRPr="003300B9">
              <w:rPr>
                <w:bCs/>
                <w:lang w:eastAsia="et-EE"/>
              </w:rPr>
              <w:t>Maksimaal</w:t>
            </w:r>
            <w:r w:rsidR="006310A3" w:rsidRPr="003300B9">
              <w:rPr>
                <w:bCs/>
                <w:lang w:eastAsia="et-EE"/>
              </w:rPr>
              <w:t>ne</w:t>
            </w:r>
            <w:r w:rsidRPr="003300B9">
              <w:rPr>
                <w:bCs/>
                <w:lang w:eastAsia="et-EE"/>
              </w:rPr>
              <w:t xml:space="preserve"> hindepunktid</w:t>
            </w:r>
            <w:r w:rsidR="006310A3" w:rsidRPr="003300B9">
              <w:rPr>
                <w:bCs/>
                <w:lang w:eastAsia="et-EE"/>
              </w:rPr>
              <w:t>e summa</w:t>
            </w:r>
            <w:r w:rsidRPr="003300B9">
              <w:rPr>
                <w:bCs/>
                <w:lang w:eastAsia="et-EE"/>
              </w:rPr>
              <w:t xml:space="preserve"> m</w:t>
            </w:r>
            <w:r w:rsidRPr="003300B9">
              <w:rPr>
                <w:lang w:eastAsia="et-EE"/>
              </w:rPr>
              <w:t xml:space="preserve">ittepõllumajandusliku ettevõtlusega tegeleva mikroettevõtja taotluse puhul (hindamiskriteeriumid 1–5, 8–12 ja 14) </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6D982133" w14:textId="6EACACC0" w:rsidR="008F05F8" w:rsidRPr="003D55F7" w:rsidRDefault="009E7F8D" w:rsidP="008F05F8">
            <w:pPr>
              <w:autoSpaceDE/>
              <w:autoSpaceDN/>
              <w:spacing w:before="120" w:after="120"/>
              <w:contextualSpacing/>
              <w:jc w:val="center"/>
              <w:rPr>
                <w:b/>
                <w:bCs/>
                <w:lang w:eastAsia="et-EE"/>
              </w:rPr>
            </w:pPr>
            <w:r>
              <w:rPr>
                <w:b/>
                <w:bCs/>
                <w:lang w:eastAsia="et-EE"/>
              </w:rPr>
              <w:t>67</w:t>
            </w:r>
          </w:p>
        </w:tc>
      </w:tr>
      <w:tr w:rsidR="008F05F8" w:rsidRPr="00F1775E" w14:paraId="729D6388" w14:textId="77777777" w:rsidTr="00077A0B">
        <w:trPr>
          <w:trHeight w:val="552"/>
        </w:trPr>
        <w:tc>
          <w:tcPr>
            <w:tcW w:w="851" w:type="dxa"/>
            <w:tcBorders>
              <w:top w:val="nil"/>
              <w:bottom w:val="nil"/>
            </w:tcBorders>
            <w:shd w:val="clear" w:color="auto" w:fill="auto"/>
            <w:noWrap/>
            <w:vAlign w:val="bottom"/>
          </w:tcPr>
          <w:p w14:paraId="7A76BB37" w14:textId="77777777" w:rsidR="008F05F8" w:rsidRPr="00EC7A18" w:rsidRDefault="008F05F8" w:rsidP="008F05F8">
            <w:pPr>
              <w:autoSpaceDE/>
              <w:autoSpaceDN/>
              <w:rPr>
                <w:sz w:val="20"/>
                <w:szCs w:val="20"/>
                <w:lang w:eastAsia="et-EE"/>
              </w:rPr>
            </w:pPr>
          </w:p>
        </w:tc>
        <w:tc>
          <w:tcPr>
            <w:tcW w:w="709" w:type="dxa"/>
            <w:tcBorders>
              <w:top w:val="single" w:sz="4" w:space="0" w:color="7F7F7F" w:themeColor="text1" w:themeTint="80"/>
            </w:tcBorders>
            <w:shd w:val="clear" w:color="auto" w:fill="auto"/>
            <w:noWrap/>
            <w:vAlign w:val="center"/>
          </w:tcPr>
          <w:p w14:paraId="37F93427" w14:textId="1A7000CE" w:rsidR="008F05F8" w:rsidRPr="002144C4" w:rsidRDefault="008F05F8" w:rsidP="008F05F8">
            <w:pPr>
              <w:autoSpaceDE/>
              <w:autoSpaceDN/>
              <w:spacing w:before="120" w:after="120"/>
              <w:contextualSpacing/>
              <w:jc w:val="center"/>
              <w:rPr>
                <w:b/>
                <w:bCs/>
                <w:lang w:eastAsia="et-EE"/>
              </w:rPr>
            </w:pPr>
            <w:r w:rsidRPr="002144C4">
              <w:rPr>
                <w:b/>
                <w:bCs/>
                <w:lang w:eastAsia="et-EE"/>
              </w:rPr>
              <w:t>56</w:t>
            </w:r>
          </w:p>
        </w:tc>
        <w:tc>
          <w:tcPr>
            <w:tcW w:w="11624" w:type="dxa"/>
            <w:gridSpan w:val="3"/>
            <w:tcBorders>
              <w:top w:val="single" w:sz="4" w:space="0" w:color="7F7F7F" w:themeColor="text1" w:themeTint="80"/>
            </w:tcBorders>
            <w:shd w:val="clear" w:color="auto" w:fill="F2F2F2" w:themeFill="background1" w:themeFillShade="F2"/>
            <w:vAlign w:val="center"/>
          </w:tcPr>
          <w:p w14:paraId="6E52981A" w14:textId="5F712FD8" w:rsidR="008F05F8" w:rsidRPr="003300B9" w:rsidRDefault="008F05F8" w:rsidP="008F05F8">
            <w:pPr>
              <w:autoSpaceDE/>
              <w:autoSpaceDN/>
              <w:spacing w:before="120" w:after="120"/>
              <w:contextualSpacing/>
              <w:jc w:val="both"/>
              <w:rPr>
                <w:bCs/>
                <w:lang w:eastAsia="et-EE"/>
              </w:rPr>
            </w:pPr>
            <w:r w:rsidRPr="003300B9">
              <w:rPr>
                <w:bCs/>
                <w:lang w:eastAsia="et-EE"/>
              </w:rPr>
              <w:t xml:space="preserve">Minimaalne hindepunktide summa põllumajandustootja taotluse rahuldamiseks </w:t>
            </w:r>
          </w:p>
        </w:tc>
        <w:tc>
          <w:tcPr>
            <w:tcW w:w="992"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71A218C6" w14:textId="1C8B7487" w:rsidR="008F05F8" w:rsidRPr="002144C4" w:rsidRDefault="00C93C9C" w:rsidP="008F05F8">
            <w:pPr>
              <w:autoSpaceDE/>
              <w:autoSpaceDN/>
              <w:spacing w:before="120" w:after="120"/>
              <w:contextualSpacing/>
              <w:jc w:val="center"/>
              <w:rPr>
                <w:b/>
                <w:bCs/>
                <w:lang w:eastAsia="et-EE"/>
              </w:rPr>
            </w:pPr>
            <w:r>
              <w:rPr>
                <w:b/>
                <w:bCs/>
                <w:lang w:eastAsia="et-EE"/>
              </w:rPr>
              <w:t>17</w:t>
            </w:r>
          </w:p>
        </w:tc>
      </w:tr>
      <w:tr w:rsidR="008F05F8" w:rsidRPr="00F1775E" w14:paraId="2128845F" w14:textId="77777777" w:rsidTr="00077A0B">
        <w:trPr>
          <w:trHeight w:val="552"/>
        </w:trPr>
        <w:tc>
          <w:tcPr>
            <w:tcW w:w="851" w:type="dxa"/>
            <w:tcBorders>
              <w:top w:val="nil"/>
              <w:bottom w:val="nil"/>
            </w:tcBorders>
            <w:shd w:val="clear" w:color="auto" w:fill="auto"/>
            <w:noWrap/>
            <w:vAlign w:val="bottom"/>
          </w:tcPr>
          <w:p w14:paraId="113889D4" w14:textId="77777777" w:rsidR="008F05F8" w:rsidRPr="00EC7A18" w:rsidRDefault="008F05F8" w:rsidP="008F05F8">
            <w:pPr>
              <w:autoSpaceDE/>
              <w:autoSpaceDN/>
              <w:rPr>
                <w:sz w:val="20"/>
                <w:szCs w:val="20"/>
                <w:lang w:eastAsia="et-EE"/>
              </w:rPr>
            </w:pPr>
          </w:p>
        </w:tc>
        <w:tc>
          <w:tcPr>
            <w:tcW w:w="709" w:type="dxa"/>
            <w:shd w:val="clear" w:color="auto" w:fill="auto"/>
            <w:noWrap/>
            <w:vAlign w:val="center"/>
          </w:tcPr>
          <w:p w14:paraId="410C4B47" w14:textId="55DB9F33" w:rsidR="008F05F8" w:rsidRPr="002144C4" w:rsidRDefault="008F05F8" w:rsidP="008F05F8">
            <w:pPr>
              <w:autoSpaceDE/>
              <w:autoSpaceDN/>
              <w:spacing w:before="120" w:after="120"/>
              <w:contextualSpacing/>
              <w:jc w:val="center"/>
              <w:rPr>
                <w:b/>
                <w:bCs/>
                <w:lang w:eastAsia="et-EE"/>
              </w:rPr>
            </w:pPr>
            <w:r w:rsidRPr="002144C4">
              <w:rPr>
                <w:b/>
                <w:bCs/>
                <w:lang w:eastAsia="et-EE"/>
              </w:rPr>
              <w:t>57</w:t>
            </w:r>
          </w:p>
        </w:tc>
        <w:tc>
          <w:tcPr>
            <w:tcW w:w="11624" w:type="dxa"/>
            <w:gridSpan w:val="3"/>
            <w:shd w:val="clear" w:color="auto" w:fill="F2F2F2" w:themeFill="background1" w:themeFillShade="F2"/>
            <w:vAlign w:val="center"/>
          </w:tcPr>
          <w:p w14:paraId="0FB0C4A7" w14:textId="6577427D" w:rsidR="008F05F8" w:rsidRPr="003300B9" w:rsidRDefault="008F05F8" w:rsidP="008F05F8">
            <w:pPr>
              <w:autoSpaceDE/>
              <w:autoSpaceDN/>
              <w:spacing w:before="120" w:after="120"/>
              <w:contextualSpacing/>
              <w:jc w:val="both"/>
              <w:rPr>
                <w:bCs/>
                <w:lang w:eastAsia="et-EE"/>
              </w:rPr>
            </w:pPr>
            <w:r w:rsidRPr="003300B9">
              <w:rPr>
                <w:bCs/>
                <w:lang w:eastAsia="et-EE"/>
              </w:rPr>
              <w:t xml:space="preserve">Minimaalne hindepunktide summa põllumajandusvaldkonna muuseumi taotluse rahuldamiseks </w:t>
            </w:r>
          </w:p>
        </w:tc>
        <w:tc>
          <w:tcPr>
            <w:tcW w:w="992" w:type="dxa"/>
            <w:tcBorders>
              <w:top w:val="single" w:sz="4" w:space="0" w:color="7F7F7F" w:themeColor="text1" w:themeTint="80"/>
            </w:tcBorders>
            <w:shd w:val="clear" w:color="auto" w:fill="F2F2F2" w:themeFill="background1" w:themeFillShade="F2"/>
            <w:vAlign w:val="center"/>
          </w:tcPr>
          <w:p w14:paraId="0B74F6B0" w14:textId="586917A8" w:rsidR="008F05F8" w:rsidRPr="002144C4" w:rsidRDefault="008F05F8" w:rsidP="008F05F8">
            <w:pPr>
              <w:autoSpaceDE/>
              <w:autoSpaceDN/>
              <w:spacing w:before="120" w:after="120"/>
              <w:contextualSpacing/>
              <w:jc w:val="center"/>
              <w:rPr>
                <w:b/>
                <w:bCs/>
                <w:color w:val="0070C0"/>
                <w:lang w:eastAsia="et-EE"/>
              </w:rPr>
            </w:pPr>
            <w:r w:rsidRPr="002144C4">
              <w:rPr>
                <w:b/>
                <w:bCs/>
                <w:lang w:eastAsia="et-EE"/>
              </w:rPr>
              <w:t>17</w:t>
            </w:r>
          </w:p>
        </w:tc>
      </w:tr>
      <w:tr w:rsidR="008F05F8" w:rsidRPr="00F1775E" w14:paraId="67B2AF83" w14:textId="77777777" w:rsidTr="00077A0B">
        <w:trPr>
          <w:trHeight w:val="552"/>
        </w:trPr>
        <w:tc>
          <w:tcPr>
            <w:tcW w:w="851" w:type="dxa"/>
            <w:tcBorders>
              <w:top w:val="nil"/>
              <w:bottom w:val="nil"/>
            </w:tcBorders>
            <w:shd w:val="clear" w:color="auto" w:fill="auto"/>
            <w:noWrap/>
            <w:vAlign w:val="bottom"/>
          </w:tcPr>
          <w:p w14:paraId="2D7ABFA5" w14:textId="77777777" w:rsidR="008F05F8" w:rsidRPr="00EC7A18" w:rsidRDefault="008F05F8" w:rsidP="008F05F8">
            <w:pPr>
              <w:autoSpaceDE/>
              <w:autoSpaceDN/>
              <w:rPr>
                <w:sz w:val="20"/>
                <w:szCs w:val="20"/>
                <w:lang w:eastAsia="et-EE"/>
              </w:rPr>
            </w:pPr>
          </w:p>
        </w:tc>
        <w:tc>
          <w:tcPr>
            <w:tcW w:w="709" w:type="dxa"/>
            <w:shd w:val="clear" w:color="auto" w:fill="auto"/>
            <w:noWrap/>
            <w:vAlign w:val="center"/>
          </w:tcPr>
          <w:p w14:paraId="5916F19C" w14:textId="2B3EA2E2" w:rsidR="008F05F8" w:rsidRPr="002144C4" w:rsidRDefault="008F05F8" w:rsidP="008F05F8">
            <w:pPr>
              <w:autoSpaceDE/>
              <w:autoSpaceDN/>
              <w:spacing w:before="120" w:after="120"/>
              <w:contextualSpacing/>
              <w:jc w:val="center"/>
              <w:rPr>
                <w:b/>
                <w:bCs/>
                <w:lang w:eastAsia="et-EE"/>
              </w:rPr>
            </w:pPr>
            <w:r w:rsidRPr="002144C4">
              <w:rPr>
                <w:b/>
                <w:bCs/>
                <w:lang w:eastAsia="et-EE"/>
              </w:rPr>
              <w:t>58</w:t>
            </w:r>
          </w:p>
        </w:tc>
        <w:tc>
          <w:tcPr>
            <w:tcW w:w="11624" w:type="dxa"/>
            <w:gridSpan w:val="3"/>
            <w:shd w:val="clear" w:color="auto" w:fill="F2F2F2" w:themeFill="background1" w:themeFillShade="F2"/>
            <w:vAlign w:val="center"/>
          </w:tcPr>
          <w:p w14:paraId="603FD140" w14:textId="7685A579" w:rsidR="008F05F8" w:rsidRPr="003300B9" w:rsidRDefault="008F05F8" w:rsidP="008F05F8">
            <w:pPr>
              <w:autoSpaceDE/>
              <w:autoSpaceDN/>
              <w:spacing w:before="120" w:after="120"/>
              <w:contextualSpacing/>
              <w:jc w:val="both"/>
              <w:rPr>
                <w:bCs/>
                <w:lang w:eastAsia="et-EE"/>
              </w:rPr>
            </w:pPr>
            <w:r w:rsidRPr="003300B9">
              <w:rPr>
                <w:bCs/>
                <w:lang w:eastAsia="et-EE"/>
              </w:rPr>
              <w:t>Minimaalne hindepunktide summa avaliku sektori põllumajandusettevõtja taotluse rahuldamiseks kuni 150</w:t>
            </w:r>
            <w:r w:rsidR="006A019D" w:rsidRPr="003300B9">
              <w:rPr>
                <w:bCs/>
                <w:lang w:eastAsia="et-EE"/>
              </w:rPr>
              <w:t> </w:t>
            </w:r>
            <w:r w:rsidRPr="003300B9">
              <w:rPr>
                <w:bCs/>
                <w:lang w:eastAsia="et-EE"/>
              </w:rPr>
              <w:t>000</w:t>
            </w:r>
            <w:r w:rsidR="006A019D" w:rsidRPr="003300B9">
              <w:rPr>
                <w:bCs/>
                <w:lang w:eastAsia="et-EE"/>
              </w:rPr>
              <w:t> </w:t>
            </w:r>
            <w:r w:rsidRPr="003300B9">
              <w:rPr>
                <w:bCs/>
                <w:lang w:eastAsia="et-EE"/>
              </w:rPr>
              <w:t xml:space="preserve">euro suuruse toetuse puhul </w:t>
            </w:r>
          </w:p>
        </w:tc>
        <w:tc>
          <w:tcPr>
            <w:tcW w:w="992" w:type="dxa"/>
            <w:shd w:val="clear" w:color="auto" w:fill="F2F2F2" w:themeFill="background1" w:themeFillShade="F2"/>
            <w:vAlign w:val="center"/>
          </w:tcPr>
          <w:p w14:paraId="0B4B6D74" w14:textId="4ADB6615" w:rsidR="008F05F8" w:rsidRPr="002144C4" w:rsidRDefault="008F05F8" w:rsidP="008F05F8">
            <w:pPr>
              <w:autoSpaceDE/>
              <w:autoSpaceDN/>
              <w:spacing w:before="120" w:after="120"/>
              <w:contextualSpacing/>
              <w:jc w:val="center"/>
              <w:rPr>
                <w:b/>
                <w:bCs/>
                <w:lang w:eastAsia="et-EE"/>
              </w:rPr>
            </w:pPr>
            <w:r w:rsidRPr="008D6352">
              <w:rPr>
                <w:b/>
                <w:bCs/>
                <w:lang w:eastAsia="et-EE"/>
              </w:rPr>
              <w:t>17</w:t>
            </w:r>
          </w:p>
        </w:tc>
      </w:tr>
      <w:tr w:rsidR="008F05F8" w:rsidRPr="00F1775E" w14:paraId="39E077C4" w14:textId="77777777" w:rsidTr="00077A0B">
        <w:trPr>
          <w:trHeight w:val="552"/>
        </w:trPr>
        <w:tc>
          <w:tcPr>
            <w:tcW w:w="851" w:type="dxa"/>
            <w:tcBorders>
              <w:top w:val="nil"/>
              <w:bottom w:val="nil"/>
            </w:tcBorders>
            <w:shd w:val="clear" w:color="auto" w:fill="auto"/>
            <w:noWrap/>
            <w:vAlign w:val="bottom"/>
          </w:tcPr>
          <w:p w14:paraId="716E963C" w14:textId="77777777" w:rsidR="008F05F8" w:rsidRPr="00EC7A18" w:rsidRDefault="008F05F8" w:rsidP="008F05F8">
            <w:pPr>
              <w:autoSpaceDE/>
              <w:autoSpaceDN/>
              <w:rPr>
                <w:sz w:val="20"/>
                <w:szCs w:val="20"/>
                <w:lang w:eastAsia="et-EE"/>
              </w:rPr>
            </w:pPr>
          </w:p>
        </w:tc>
        <w:tc>
          <w:tcPr>
            <w:tcW w:w="709" w:type="dxa"/>
            <w:shd w:val="clear" w:color="auto" w:fill="auto"/>
            <w:noWrap/>
            <w:vAlign w:val="center"/>
          </w:tcPr>
          <w:p w14:paraId="3A86703C" w14:textId="002A1CFB" w:rsidR="008F05F8" w:rsidRPr="002144C4" w:rsidRDefault="008F05F8" w:rsidP="008F05F8">
            <w:pPr>
              <w:autoSpaceDE/>
              <w:autoSpaceDN/>
              <w:spacing w:before="120" w:after="120"/>
              <w:contextualSpacing/>
              <w:jc w:val="center"/>
              <w:rPr>
                <w:b/>
                <w:bCs/>
                <w:lang w:eastAsia="et-EE"/>
              </w:rPr>
            </w:pPr>
            <w:r w:rsidRPr="002144C4">
              <w:rPr>
                <w:b/>
                <w:bCs/>
                <w:lang w:eastAsia="et-EE"/>
              </w:rPr>
              <w:t>59</w:t>
            </w:r>
          </w:p>
        </w:tc>
        <w:tc>
          <w:tcPr>
            <w:tcW w:w="11624" w:type="dxa"/>
            <w:gridSpan w:val="3"/>
            <w:shd w:val="clear" w:color="auto" w:fill="F2F2F2" w:themeFill="background1" w:themeFillShade="F2"/>
            <w:vAlign w:val="center"/>
          </w:tcPr>
          <w:p w14:paraId="528C91FA" w14:textId="0DA7CC7D" w:rsidR="008F05F8" w:rsidRPr="003300B9" w:rsidRDefault="008F05F8" w:rsidP="008F05F8">
            <w:pPr>
              <w:autoSpaceDE/>
              <w:autoSpaceDN/>
              <w:spacing w:before="120" w:after="120"/>
              <w:contextualSpacing/>
              <w:jc w:val="both"/>
              <w:rPr>
                <w:bCs/>
                <w:lang w:eastAsia="et-EE"/>
              </w:rPr>
            </w:pPr>
            <w:r w:rsidRPr="003300B9">
              <w:rPr>
                <w:bCs/>
                <w:lang w:eastAsia="et-EE"/>
              </w:rPr>
              <w:t>Minimaalne hindepunktide summa avaliku sektori põllumajandusettevõtja taotluse rahuldamiseks üle 150</w:t>
            </w:r>
            <w:r w:rsidR="006A019D" w:rsidRPr="003300B9">
              <w:rPr>
                <w:bCs/>
                <w:lang w:eastAsia="et-EE"/>
              </w:rPr>
              <w:t> </w:t>
            </w:r>
            <w:r w:rsidRPr="003300B9">
              <w:rPr>
                <w:bCs/>
                <w:lang w:eastAsia="et-EE"/>
              </w:rPr>
              <w:t>000</w:t>
            </w:r>
            <w:r w:rsidR="006A019D" w:rsidRPr="003300B9">
              <w:rPr>
                <w:bCs/>
                <w:lang w:eastAsia="et-EE"/>
              </w:rPr>
              <w:t> </w:t>
            </w:r>
            <w:r w:rsidRPr="003300B9">
              <w:rPr>
                <w:bCs/>
                <w:lang w:eastAsia="et-EE"/>
              </w:rPr>
              <w:t xml:space="preserve">euro suuruse toetuse puhul </w:t>
            </w:r>
          </w:p>
        </w:tc>
        <w:tc>
          <w:tcPr>
            <w:tcW w:w="992" w:type="dxa"/>
            <w:shd w:val="clear" w:color="auto" w:fill="F2F2F2" w:themeFill="background1" w:themeFillShade="F2"/>
            <w:vAlign w:val="center"/>
          </w:tcPr>
          <w:p w14:paraId="75C8F809" w14:textId="37733CCF" w:rsidR="008F05F8" w:rsidRPr="002144C4" w:rsidRDefault="00C93C9C" w:rsidP="008F05F8">
            <w:pPr>
              <w:autoSpaceDE/>
              <w:autoSpaceDN/>
              <w:spacing w:before="120" w:after="120"/>
              <w:contextualSpacing/>
              <w:jc w:val="center"/>
              <w:rPr>
                <w:b/>
                <w:bCs/>
                <w:lang w:eastAsia="et-EE"/>
              </w:rPr>
            </w:pPr>
            <w:r>
              <w:rPr>
                <w:b/>
                <w:bCs/>
                <w:lang w:eastAsia="et-EE"/>
              </w:rPr>
              <w:t>55</w:t>
            </w:r>
          </w:p>
        </w:tc>
      </w:tr>
      <w:tr w:rsidR="008F05F8" w:rsidRPr="00F1775E" w14:paraId="0677709F" w14:textId="77777777" w:rsidTr="00077A0B">
        <w:trPr>
          <w:trHeight w:val="713"/>
        </w:trPr>
        <w:tc>
          <w:tcPr>
            <w:tcW w:w="851" w:type="dxa"/>
            <w:tcBorders>
              <w:top w:val="nil"/>
            </w:tcBorders>
            <w:shd w:val="clear" w:color="auto" w:fill="auto"/>
            <w:noWrap/>
            <w:vAlign w:val="bottom"/>
            <w:hideMark/>
          </w:tcPr>
          <w:p w14:paraId="1B003F23" w14:textId="77777777" w:rsidR="008F05F8" w:rsidRPr="00EC7A18" w:rsidRDefault="008F05F8" w:rsidP="008F05F8">
            <w:pPr>
              <w:autoSpaceDE/>
              <w:autoSpaceDN/>
              <w:rPr>
                <w:sz w:val="20"/>
                <w:szCs w:val="20"/>
                <w:lang w:eastAsia="et-EE"/>
              </w:rPr>
            </w:pPr>
          </w:p>
        </w:tc>
        <w:tc>
          <w:tcPr>
            <w:tcW w:w="709" w:type="dxa"/>
            <w:shd w:val="clear" w:color="auto" w:fill="auto"/>
            <w:noWrap/>
            <w:vAlign w:val="center"/>
            <w:hideMark/>
          </w:tcPr>
          <w:p w14:paraId="7382D663" w14:textId="795C9021" w:rsidR="008F05F8" w:rsidRPr="002144C4" w:rsidRDefault="008F05F8" w:rsidP="008F05F8">
            <w:pPr>
              <w:autoSpaceDE/>
              <w:autoSpaceDN/>
              <w:spacing w:before="120" w:after="120"/>
              <w:contextualSpacing/>
              <w:jc w:val="center"/>
              <w:rPr>
                <w:b/>
                <w:bCs/>
                <w:lang w:eastAsia="et-EE"/>
              </w:rPr>
            </w:pPr>
            <w:r w:rsidRPr="002144C4">
              <w:rPr>
                <w:b/>
                <w:bCs/>
                <w:lang w:eastAsia="et-EE"/>
              </w:rPr>
              <w:t>60</w:t>
            </w:r>
          </w:p>
        </w:tc>
        <w:tc>
          <w:tcPr>
            <w:tcW w:w="11624" w:type="dxa"/>
            <w:gridSpan w:val="3"/>
            <w:shd w:val="clear" w:color="auto" w:fill="F2F2F2" w:themeFill="background1" w:themeFillShade="F2"/>
            <w:vAlign w:val="center"/>
            <w:hideMark/>
          </w:tcPr>
          <w:p w14:paraId="7D678866" w14:textId="39A134EA" w:rsidR="008F05F8" w:rsidRPr="003300B9" w:rsidRDefault="008F05F8" w:rsidP="008F05F8">
            <w:pPr>
              <w:autoSpaceDE/>
              <w:autoSpaceDN/>
              <w:spacing w:before="120" w:after="120"/>
              <w:contextualSpacing/>
              <w:jc w:val="both"/>
              <w:rPr>
                <w:bCs/>
                <w:lang w:eastAsia="et-EE"/>
              </w:rPr>
            </w:pPr>
            <w:r w:rsidRPr="003300B9">
              <w:rPr>
                <w:bCs/>
                <w:lang w:eastAsia="et-EE"/>
              </w:rPr>
              <w:t>Minimaalne hindepunktide summa m</w:t>
            </w:r>
            <w:r w:rsidRPr="003300B9">
              <w:rPr>
                <w:lang w:eastAsia="et-EE"/>
              </w:rPr>
              <w:t>ittepõllumajandusliku ettevõtlusega tegeleva mikroettevõtja taotluse rahuldamiseks</w:t>
            </w:r>
          </w:p>
        </w:tc>
        <w:tc>
          <w:tcPr>
            <w:tcW w:w="992" w:type="dxa"/>
            <w:shd w:val="clear" w:color="auto" w:fill="F2F2F2" w:themeFill="background1" w:themeFillShade="F2"/>
            <w:vAlign w:val="center"/>
            <w:hideMark/>
          </w:tcPr>
          <w:p w14:paraId="07E8BBC0" w14:textId="00FFC865" w:rsidR="008F05F8" w:rsidRPr="002144C4" w:rsidRDefault="00C93C9C" w:rsidP="008F05F8">
            <w:pPr>
              <w:autoSpaceDE/>
              <w:autoSpaceDN/>
              <w:spacing w:before="120" w:after="120"/>
              <w:contextualSpacing/>
              <w:jc w:val="center"/>
              <w:rPr>
                <w:b/>
                <w:bCs/>
                <w:lang w:eastAsia="et-EE"/>
              </w:rPr>
            </w:pPr>
            <w:r>
              <w:rPr>
                <w:b/>
                <w:bCs/>
                <w:lang w:eastAsia="et-EE"/>
              </w:rPr>
              <w:t>16</w:t>
            </w:r>
          </w:p>
        </w:tc>
      </w:tr>
    </w:tbl>
    <w:p w14:paraId="2F283C42" w14:textId="77777777" w:rsidR="00162496" w:rsidRPr="00F1775E" w:rsidRDefault="00162496" w:rsidP="00162496">
      <w:pPr>
        <w:jc w:val="both"/>
      </w:pPr>
    </w:p>
    <w:sectPr w:rsidR="00162496" w:rsidRPr="00F1775E" w:rsidSect="00C259FB">
      <w:footerReference w:type="default" r:id="rId8"/>
      <w:endnotePr>
        <w:numFmt w:val="decimal"/>
      </w:endnotePr>
      <w:pgSz w:w="16838" w:h="11906" w:orient="landscape"/>
      <w:pgMar w:top="1135" w:right="1529"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D582A" w14:textId="77777777" w:rsidR="00880ACB" w:rsidRDefault="00880ACB" w:rsidP="00E2468B">
      <w:r>
        <w:separator/>
      </w:r>
    </w:p>
  </w:endnote>
  <w:endnote w:type="continuationSeparator" w:id="0">
    <w:p w14:paraId="2F24AF07" w14:textId="77777777" w:rsidR="00880ACB" w:rsidRDefault="00880ACB" w:rsidP="00E2468B">
      <w:r>
        <w:continuationSeparator/>
      </w:r>
    </w:p>
  </w:endnote>
  <w:endnote w:id="1">
    <w:p w14:paraId="459C7D15" w14:textId="51A402FC" w:rsidR="006317F4" w:rsidRPr="000F07D1" w:rsidRDefault="006317F4" w:rsidP="003D55F7">
      <w:pPr>
        <w:pStyle w:val="EndnoteText"/>
        <w:jc w:val="both"/>
      </w:pPr>
      <w:r w:rsidRPr="000F07D1">
        <w:rPr>
          <w:rStyle w:val="EndnoteReference"/>
        </w:rPr>
        <w:endnoteRef/>
      </w:r>
      <w:r w:rsidRPr="000F07D1">
        <w:t xml:space="preserve"> </w:t>
      </w:r>
      <w:r w:rsidRPr="00824C6D">
        <w:t xml:space="preserve">Asjaomased piirkonnad määratakse kuni programmiperioodi lõpuni arengukava punktis 8.1 esitatud maapiirkonna määratluse alusel: </w:t>
      </w:r>
      <w:r w:rsidRPr="00A8525C">
        <w:t xml:space="preserve">maapiirkond on territoorium, mis vastab enne haldusterritoriaalse korralduse muutmist haldusreformi seaduse alusel ja korras valdade ja kuni 4000 elanikuga linnade, sealhulgas vallasiseste </w:t>
      </w:r>
      <w:r w:rsidRPr="006317F4">
        <w:t>linnade</w:t>
      </w:r>
      <w:r w:rsidRPr="001B1AA2">
        <w:t xml:space="preserve"> territooriumile haldusreformile eelnenud piirides.</w:t>
      </w:r>
      <w:r w:rsidRPr="00824C6D">
        <w:t xml:space="preserve"> </w:t>
      </w:r>
      <w:r w:rsidRPr="00824C6D">
        <w:rPr>
          <w:lang w:eastAsia="et-EE"/>
        </w:rPr>
        <w:t>Juhul kui taotleja tegevuskohta ehk püsiva ja kestva majandus- või kutsetegevuse kohta ei ole seoses toetatava investeeringuga võimalik ühe konkreetse kohaliku omavalitsuse üksusega seostada, jäetakse selle hindamiskriteeriumi puhul hindepunktid andmata.</w:t>
      </w:r>
    </w:p>
  </w:endnote>
  <w:endnote w:id="2">
    <w:p w14:paraId="3BEF7187" w14:textId="57D49A28" w:rsidR="006317F4" w:rsidRDefault="006317F4" w:rsidP="006C0611">
      <w:pPr>
        <w:pStyle w:val="EndnoteText"/>
        <w:jc w:val="both"/>
      </w:pPr>
      <w:r w:rsidRPr="000F07D1">
        <w:rPr>
          <w:rStyle w:val="EndnoteReference"/>
        </w:rPr>
        <w:endnoteRef/>
      </w:r>
      <w:r w:rsidRPr="000F07D1">
        <w:t xml:space="preserve"> </w:t>
      </w:r>
      <w:r w:rsidRPr="00EB06F0">
        <w:t xml:space="preserve">Välja arvatud normitehnilises märkuses nr 1 nimetatud maapiirkonna määratlusega mittehõlmatud kohaliku omavalitsuse üksuste koosseisu </w:t>
      </w:r>
      <w:r w:rsidRPr="00B310BF">
        <w:t>kuuluvad väikesaared (Aegna, Naissaar, Prangli).</w:t>
      </w:r>
    </w:p>
    <w:p w14:paraId="6BE310DF" w14:textId="12371DE2" w:rsidR="006317F4" w:rsidRDefault="006317F4" w:rsidP="006C0611">
      <w:pPr>
        <w:pStyle w:val="EndnoteText"/>
        <w:jc w:val="both"/>
      </w:pPr>
      <w:r>
        <w:rPr>
          <w:rStyle w:val="EndnoteReference"/>
        </w:rPr>
        <w:t>3</w:t>
      </w:r>
      <w:r w:rsidRPr="00824C6D">
        <w:t xml:space="preserve">Avaliku sektori põllumajandusettevõtja hindepunktid korrutatakse tasakaalustuskoefitsiendiga 1,52, et tagada </w:t>
      </w:r>
      <w:r w:rsidR="00513883">
        <w:t>tema</w:t>
      </w:r>
      <w:r>
        <w:t xml:space="preserve"> </w:t>
      </w:r>
      <w:r w:rsidRPr="00824C6D">
        <w:t xml:space="preserve">hindepunktide võrreldavus põllumajandustootja </w:t>
      </w:r>
      <w:r>
        <w:t>hindepunktidega</w:t>
      </w:r>
      <w:r w:rsidRPr="00824C6D">
        <w:t>.</w:t>
      </w:r>
      <w:r>
        <w:t xml:space="preserve"> </w:t>
      </w:r>
    </w:p>
    <w:p w14:paraId="419A1A03" w14:textId="1FD64C27" w:rsidR="006317F4" w:rsidRPr="00824C6D" w:rsidRDefault="006317F4" w:rsidP="003D55F7">
      <w:pPr>
        <w:pStyle w:val="EndnoteText"/>
        <w:jc w:val="both"/>
      </w:pPr>
      <w:r>
        <w:rPr>
          <w:rStyle w:val="EndnoteReference"/>
        </w:rPr>
        <w:t>4</w:t>
      </w:r>
      <w:r w:rsidRPr="00EB101B">
        <w:t xml:space="preserve"> Põllumajandusvaldkonna </w:t>
      </w:r>
      <w:r w:rsidRPr="00963F07">
        <w:t xml:space="preserve">muuseumi hindepunktid korrutatakse tasakaalustuskoefitsiendiga 1,95, et tagada </w:t>
      </w:r>
      <w:r w:rsidR="00513883">
        <w:t>tema</w:t>
      </w:r>
      <w:r>
        <w:t xml:space="preserve"> </w:t>
      </w:r>
      <w:r w:rsidRPr="00963F07">
        <w:t>hindepunktide võrreldavus põllumajandustootja</w:t>
      </w:r>
      <w:r>
        <w:t xml:space="preserve"> ja </w:t>
      </w:r>
      <w:r w:rsidRPr="00963F07">
        <w:t xml:space="preserve">avaliku sektori põllumajandusettevõtja </w:t>
      </w:r>
      <w:r>
        <w:t>hindepunktidega</w:t>
      </w:r>
      <w:r w:rsidRPr="00963F0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0089"/>
      <w:docPartObj>
        <w:docPartGallery w:val="Page Numbers (Bottom of Page)"/>
        <w:docPartUnique/>
      </w:docPartObj>
    </w:sdtPr>
    <w:sdtEndPr/>
    <w:sdtContent>
      <w:p w14:paraId="587DAA57" w14:textId="2B884A68" w:rsidR="006317F4" w:rsidRDefault="006317F4">
        <w:pPr>
          <w:pStyle w:val="Footer"/>
          <w:jc w:val="center"/>
        </w:pPr>
        <w:r>
          <w:fldChar w:fldCharType="begin"/>
        </w:r>
        <w:r>
          <w:instrText>PAGE   \* MERGEFORMAT</w:instrText>
        </w:r>
        <w:r>
          <w:fldChar w:fldCharType="separate"/>
        </w:r>
        <w:r w:rsidR="000014FD">
          <w:rPr>
            <w:noProof/>
          </w:rPr>
          <w:t>1</w:t>
        </w:r>
        <w:r>
          <w:fldChar w:fldCharType="end"/>
        </w:r>
      </w:p>
    </w:sdtContent>
  </w:sdt>
  <w:p w14:paraId="67FCBE9E" w14:textId="77777777" w:rsidR="006317F4" w:rsidRDefault="00631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891E5" w14:textId="77777777" w:rsidR="00880ACB" w:rsidRDefault="00880ACB" w:rsidP="00E2468B">
      <w:r>
        <w:separator/>
      </w:r>
    </w:p>
  </w:footnote>
  <w:footnote w:type="continuationSeparator" w:id="0">
    <w:p w14:paraId="3F3F7862" w14:textId="77777777" w:rsidR="00880ACB" w:rsidRDefault="00880ACB" w:rsidP="00E2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713"/>
    <w:multiLevelType w:val="hybridMultilevel"/>
    <w:tmpl w:val="E7E62312"/>
    <w:lvl w:ilvl="0" w:tplc="04250001">
      <w:start w:val="1"/>
      <w:numFmt w:val="bullet"/>
      <w:lvlText w:val=""/>
      <w:lvlJc w:val="left"/>
      <w:pPr>
        <w:ind w:left="788" w:hanging="360"/>
      </w:pPr>
      <w:rPr>
        <w:rFonts w:ascii="Symbol" w:hAnsi="Symbol" w:hint="default"/>
      </w:rPr>
    </w:lvl>
    <w:lvl w:ilvl="1" w:tplc="04250003" w:tentative="1">
      <w:start w:val="1"/>
      <w:numFmt w:val="bullet"/>
      <w:lvlText w:val="o"/>
      <w:lvlJc w:val="left"/>
      <w:pPr>
        <w:ind w:left="1508" w:hanging="360"/>
      </w:pPr>
      <w:rPr>
        <w:rFonts w:ascii="Courier New" w:hAnsi="Courier New" w:cs="Courier New" w:hint="default"/>
      </w:rPr>
    </w:lvl>
    <w:lvl w:ilvl="2" w:tplc="04250005" w:tentative="1">
      <w:start w:val="1"/>
      <w:numFmt w:val="bullet"/>
      <w:lvlText w:val=""/>
      <w:lvlJc w:val="left"/>
      <w:pPr>
        <w:ind w:left="2228" w:hanging="360"/>
      </w:pPr>
      <w:rPr>
        <w:rFonts w:ascii="Wingdings" w:hAnsi="Wingdings" w:hint="default"/>
      </w:rPr>
    </w:lvl>
    <w:lvl w:ilvl="3" w:tplc="04250001" w:tentative="1">
      <w:start w:val="1"/>
      <w:numFmt w:val="bullet"/>
      <w:lvlText w:val=""/>
      <w:lvlJc w:val="left"/>
      <w:pPr>
        <w:ind w:left="2948" w:hanging="360"/>
      </w:pPr>
      <w:rPr>
        <w:rFonts w:ascii="Symbol" w:hAnsi="Symbol" w:hint="default"/>
      </w:rPr>
    </w:lvl>
    <w:lvl w:ilvl="4" w:tplc="04250003" w:tentative="1">
      <w:start w:val="1"/>
      <w:numFmt w:val="bullet"/>
      <w:lvlText w:val="o"/>
      <w:lvlJc w:val="left"/>
      <w:pPr>
        <w:ind w:left="3668" w:hanging="360"/>
      </w:pPr>
      <w:rPr>
        <w:rFonts w:ascii="Courier New" w:hAnsi="Courier New" w:cs="Courier New" w:hint="default"/>
      </w:rPr>
    </w:lvl>
    <w:lvl w:ilvl="5" w:tplc="04250005" w:tentative="1">
      <w:start w:val="1"/>
      <w:numFmt w:val="bullet"/>
      <w:lvlText w:val=""/>
      <w:lvlJc w:val="left"/>
      <w:pPr>
        <w:ind w:left="4388" w:hanging="360"/>
      </w:pPr>
      <w:rPr>
        <w:rFonts w:ascii="Wingdings" w:hAnsi="Wingdings" w:hint="default"/>
      </w:rPr>
    </w:lvl>
    <w:lvl w:ilvl="6" w:tplc="04250001" w:tentative="1">
      <w:start w:val="1"/>
      <w:numFmt w:val="bullet"/>
      <w:lvlText w:val=""/>
      <w:lvlJc w:val="left"/>
      <w:pPr>
        <w:ind w:left="5108" w:hanging="360"/>
      </w:pPr>
      <w:rPr>
        <w:rFonts w:ascii="Symbol" w:hAnsi="Symbol" w:hint="default"/>
      </w:rPr>
    </w:lvl>
    <w:lvl w:ilvl="7" w:tplc="04250003" w:tentative="1">
      <w:start w:val="1"/>
      <w:numFmt w:val="bullet"/>
      <w:lvlText w:val="o"/>
      <w:lvlJc w:val="left"/>
      <w:pPr>
        <w:ind w:left="5828" w:hanging="360"/>
      </w:pPr>
      <w:rPr>
        <w:rFonts w:ascii="Courier New" w:hAnsi="Courier New" w:cs="Courier New" w:hint="default"/>
      </w:rPr>
    </w:lvl>
    <w:lvl w:ilvl="8" w:tplc="04250005" w:tentative="1">
      <w:start w:val="1"/>
      <w:numFmt w:val="bullet"/>
      <w:lvlText w:val=""/>
      <w:lvlJc w:val="left"/>
      <w:pPr>
        <w:ind w:left="6548" w:hanging="360"/>
      </w:pPr>
      <w:rPr>
        <w:rFonts w:ascii="Wingdings" w:hAnsi="Wingdings" w:hint="default"/>
      </w:rPr>
    </w:lvl>
  </w:abstractNum>
  <w:abstractNum w:abstractNumId="1" w15:restartNumberingAfterBreak="0">
    <w:nsid w:val="50353CC6"/>
    <w:multiLevelType w:val="hybridMultilevel"/>
    <w:tmpl w:val="00C82F0E"/>
    <w:lvl w:ilvl="0" w:tplc="55D4049A">
      <w:start w:val="1"/>
      <w:numFmt w:val="bullet"/>
      <w:lvlText w:val="–"/>
      <w:lvlJc w:val="left"/>
      <w:pPr>
        <w:ind w:left="1800" w:hanging="360"/>
      </w:pPr>
      <w:rPr>
        <w:rFonts w:ascii="Times New Roman" w:eastAsia="Times New Roman" w:hAnsi="Times New Roman" w:cs="Times New Roman"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 w15:restartNumberingAfterBreak="0">
    <w:nsid w:val="55E45D2A"/>
    <w:multiLevelType w:val="hybridMultilevel"/>
    <w:tmpl w:val="328A5D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6"/>
    <w:rsid w:val="0000011E"/>
    <w:rsid w:val="00000696"/>
    <w:rsid w:val="000014FD"/>
    <w:rsid w:val="00002CE6"/>
    <w:rsid w:val="000066B3"/>
    <w:rsid w:val="00010451"/>
    <w:rsid w:val="00010E8D"/>
    <w:rsid w:val="00011287"/>
    <w:rsid w:val="0001233C"/>
    <w:rsid w:val="00012B15"/>
    <w:rsid w:val="000222D4"/>
    <w:rsid w:val="00022E77"/>
    <w:rsid w:val="00023F9E"/>
    <w:rsid w:val="0002423B"/>
    <w:rsid w:val="00026730"/>
    <w:rsid w:val="00035A70"/>
    <w:rsid w:val="00037186"/>
    <w:rsid w:val="00037680"/>
    <w:rsid w:val="0004008D"/>
    <w:rsid w:val="00040BE2"/>
    <w:rsid w:val="00044D93"/>
    <w:rsid w:val="000455CE"/>
    <w:rsid w:val="0005007D"/>
    <w:rsid w:val="00050133"/>
    <w:rsid w:val="00053FB6"/>
    <w:rsid w:val="00054C4C"/>
    <w:rsid w:val="000551F7"/>
    <w:rsid w:val="00060493"/>
    <w:rsid w:val="00061C32"/>
    <w:rsid w:val="00064006"/>
    <w:rsid w:val="000659AD"/>
    <w:rsid w:val="0007123D"/>
    <w:rsid w:val="000724C7"/>
    <w:rsid w:val="000751EE"/>
    <w:rsid w:val="000766F1"/>
    <w:rsid w:val="00077A0B"/>
    <w:rsid w:val="0008112F"/>
    <w:rsid w:val="00081DF9"/>
    <w:rsid w:val="00087C81"/>
    <w:rsid w:val="00090353"/>
    <w:rsid w:val="00094230"/>
    <w:rsid w:val="00094B12"/>
    <w:rsid w:val="000A1C18"/>
    <w:rsid w:val="000A360D"/>
    <w:rsid w:val="000A4328"/>
    <w:rsid w:val="000B4D2A"/>
    <w:rsid w:val="000B65A1"/>
    <w:rsid w:val="000B676B"/>
    <w:rsid w:val="000B73A0"/>
    <w:rsid w:val="000B752F"/>
    <w:rsid w:val="000B7ED5"/>
    <w:rsid w:val="000C52EE"/>
    <w:rsid w:val="000D0C29"/>
    <w:rsid w:val="000D132C"/>
    <w:rsid w:val="000D21DF"/>
    <w:rsid w:val="000D423D"/>
    <w:rsid w:val="000D43EE"/>
    <w:rsid w:val="000D555B"/>
    <w:rsid w:val="000E0177"/>
    <w:rsid w:val="000E019A"/>
    <w:rsid w:val="000E079A"/>
    <w:rsid w:val="000E1D94"/>
    <w:rsid w:val="000E484A"/>
    <w:rsid w:val="000E53F6"/>
    <w:rsid w:val="000F07D1"/>
    <w:rsid w:val="000F133D"/>
    <w:rsid w:val="000F1E90"/>
    <w:rsid w:val="000F7B0F"/>
    <w:rsid w:val="0010371F"/>
    <w:rsid w:val="0011116F"/>
    <w:rsid w:val="00114366"/>
    <w:rsid w:val="00121930"/>
    <w:rsid w:val="00121FBC"/>
    <w:rsid w:val="00125F72"/>
    <w:rsid w:val="00134FBC"/>
    <w:rsid w:val="001379AD"/>
    <w:rsid w:val="00137BCF"/>
    <w:rsid w:val="001438D8"/>
    <w:rsid w:val="001454D0"/>
    <w:rsid w:val="00146907"/>
    <w:rsid w:val="0014738F"/>
    <w:rsid w:val="001479C5"/>
    <w:rsid w:val="00147D15"/>
    <w:rsid w:val="00153906"/>
    <w:rsid w:val="001543D6"/>
    <w:rsid w:val="00162496"/>
    <w:rsid w:val="00163FD4"/>
    <w:rsid w:val="00166F62"/>
    <w:rsid w:val="0016700C"/>
    <w:rsid w:val="00183262"/>
    <w:rsid w:val="0019104F"/>
    <w:rsid w:val="001A14BF"/>
    <w:rsid w:val="001A33EB"/>
    <w:rsid w:val="001B13DA"/>
    <w:rsid w:val="001B1AA2"/>
    <w:rsid w:val="001B3D7F"/>
    <w:rsid w:val="001B4CC4"/>
    <w:rsid w:val="001B5FDF"/>
    <w:rsid w:val="001B66AB"/>
    <w:rsid w:val="001C2CEE"/>
    <w:rsid w:val="001C5994"/>
    <w:rsid w:val="001D1871"/>
    <w:rsid w:val="001D6E8F"/>
    <w:rsid w:val="001D76C5"/>
    <w:rsid w:val="001E1670"/>
    <w:rsid w:val="001E2A85"/>
    <w:rsid w:val="001E636B"/>
    <w:rsid w:val="001F0C38"/>
    <w:rsid w:val="001F6CB7"/>
    <w:rsid w:val="001F7630"/>
    <w:rsid w:val="00206362"/>
    <w:rsid w:val="002144C4"/>
    <w:rsid w:val="00215218"/>
    <w:rsid w:val="0022264F"/>
    <w:rsid w:val="00222CF2"/>
    <w:rsid w:val="00227E44"/>
    <w:rsid w:val="00240582"/>
    <w:rsid w:val="00240896"/>
    <w:rsid w:val="00250B8E"/>
    <w:rsid w:val="00251730"/>
    <w:rsid w:val="002539EE"/>
    <w:rsid w:val="00260D6A"/>
    <w:rsid w:val="00261298"/>
    <w:rsid w:val="00266B48"/>
    <w:rsid w:val="00267AF3"/>
    <w:rsid w:val="00270A88"/>
    <w:rsid w:val="002736ED"/>
    <w:rsid w:val="00274DFE"/>
    <w:rsid w:val="00282765"/>
    <w:rsid w:val="00282826"/>
    <w:rsid w:val="002838EF"/>
    <w:rsid w:val="00283A36"/>
    <w:rsid w:val="00291489"/>
    <w:rsid w:val="0029628A"/>
    <w:rsid w:val="002A0B39"/>
    <w:rsid w:val="002A27B0"/>
    <w:rsid w:val="002A4308"/>
    <w:rsid w:val="002B11F7"/>
    <w:rsid w:val="002B3A34"/>
    <w:rsid w:val="002B40C1"/>
    <w:rsid w:val="002B6826"/>
    <w:rsid w:val="002C01BD"/>
    <w:rsid w:val="002C3865"/>
    <w:rsid w:val="002D6642"/>
    <w:rsid w:val="002E3C36"/>
    <w:rsid w:val="00300FFD"/>
    <w:rsid w:val="00307C9E"/>
    <w:rsid w:val="00312553"/>
    <w:rsid w:val="00313733"/>
    <w:rsid w:val="00314153"/>
    <w:rsid w:val="003146E1"/>
    <w:rsid w:val="003224B2"/>
    <w:rsid w:val="00322E0E"/>
    <w:rsid w:val="00323298"/>
    <w:rsid w:val="0032399A"/>
    <w:rsid w:val="003300B9"/>
    <w:rsid w:val="00330CC5"/>
    <w:rsid w:val="00331CF5"/>
    <w:rsid w:val="00333AC5"/>
    <w:rsid w:val="00336235"/>
    <w:rsid w:val="0034005E"/>
    <w:rsid w:val="00341951"/>
    <w:rsid w:val="00351790"/>
    <w:rsid w:val="003527E2"/>
    <w:rsid w:val="00356D3E"/>
    <w:rsid w:val="00361EAC"/>
    <w:rsid w:val="003635EF"/>
    <w:rsid w:val="003638EA"/>
    <w:rsid w:val="0037072A"/>
    <w:rsid w:val="00384FF4"/>
    <w:rsid w:val="0039101F"/>
    <w:rsid w:val="00393C3D"/>
    <w:rsid w:val="003979A9"/>
    <w:rsid w:val="003A1600"/>
    <w:rsid w:val="003A38E1"/>
    <w:rsid w:val="003A6459"/>
    <w:rsid w:val="003B3B13"/>
    <w:rsid w:val="003B5C90"/>
    <w:rsid w:val="003B66FD"/>
    <w:rsid w:val="003B7689"/>
    <w:rsid w:val="003C4E19"/>
    <w:rsid w:val="003C64C4"/>
    <w:rsid w:val="003C7437"/>
    <w:rsid w:val="003D0932"/>
    <w:rsid w:val="003D1086"/>
    <w:rsid w:val="003D11D8"/>
    <w:rsid w:val="003D1717"/>
    <w:rsid w:val="003D1779"/>
    <w:rsid w:val="003D2295"/>
    <w:rsid w:val="003D3543"/>
    <w:rsid w:val="003D3DE1"/>
    <w:rsid w:val="003D4458"/>
    <w:rsid w:val="003D4AB0"/>
    <w:rsid w:val="003D4AB4"/>
    <w:rsid w:val="003D55F7"/>
    <w:rsid w:val="003D76F5"/>
    <w:rsid w:val="003E0CD8"/>
    <w:rsid w:val="003F01A8"/>
    <w:rsid w:val="003F0DEB"/>
    <w:rsid w:val="003F3CE3"/>
    <w:rsid w:val="003F531E"/>
    <w:rsid w:val="003F6F44"/>
    <w:rsid w:val="00404F1B"/>
    <w:rsid w:val="00412D67"/>
    <w:rsid w:val="00413EB5"/>
    <w:rsid w:val="00424A58"/>
    <w:rsid w:val="0042549F"/>
    <w:rsid w:val="00425973"/>
    <w:rsid w:val="004276B7"/>
    <w:rsid w:val="0043507B"/>
    <w:rsid w:val="004361FE"/>
    <w:rsid w:val="00441C65"/>
    <w:rsid w:val="00442F8A"/>
    <w:rsid w:val="0044500A"/>
    <w:rsid w:val="0046086F"/>
    <w:rsid w:val="00470FBA"/>
    <w:rsid w:val="0047150B"/>
    <w:rsid w:val="004718E2"/>
    <w:rsid w:val="0047501B"/>
    <w:rsid w:val="00475FD3"/>
    <w:rsid w:val="004860BB"/>
    <w:rsid w:val="0048662C"/>
    <w:rsid w:val="00487302"/>
    <w:rsid w:val="00487D6A"/>
    <w:rsid w:val="00490B82"/>
    <w:rsid w:val="00494C4F"/>
    <w:rsid w:val="004A013A"/>
    <w:rsid w:val="004A022E"/>
    <w:rsid w:val="004A0680"/>
    <w:rsid w:val="004A0B02"/>
    <w:rsid w:val="004A3EA0"/>
    <w:rsid w:val="004A76E4"/>
    <w:rsid w:val="004B1235"/>
    <w:rsid w:val="004B160F"/>
    <w:rsid w:val="004B2D71"/>
    <w:rsid w:val="004B3D61"/>
    <w:rsid w:val="004B4599"/>
    <w:rsid w:val="004B6B81"/>
    <w:rsid w:val="004B7CB0"/>
    <w:rsid w:val="004C423E"/>
    <w:rsid w:val="004D31DF"/>
    <w:rsid w:val="004D6332"/>
    <w:rsid w:val="004D798F"/>
    <w:rsid w:val="004E08F0"/>
    <w:rsid w:val="004E36F9"/>
    <w:rsid w:val="004E6B90"/>
    <w:rsid w:val="004F34C6"/>
    <w:rsid w:val="004F5529"/>
    <w:rsid w:val="00505637"/>
    <w:rsid w:val="0050717D"/>
    <w:rsid w:val="00513883"/>
    <w:rsid w:val="005205BA"/>
    <w:rsid w:val="00527BF2"/>
    <w:rsid w:val="00527CDD"/>
    <w:rsid w:val="005333E8"/>
    <w:rsid w:val="00537A3E"/>
    <w:rsid w:val="00540667"/>
    <w:rsid w:val="00540857"/>
    <w:rsid w:val="00541404"/>
    <w:rsid w:val="005429CC"/>
    <w:rsid w:val="00543DA8"/>
    <w:rsid w:val="00544B19"/>
    <w:rsid w:val="0054676F"/>
    <w:rsid w:val="00547D31"/>
    <w:rsid w:val="00547FA2"/>
    <w:rsid w:val="005505F3"/>
    <w:rsid w:val="00552DBD"/>
    <w:rsid w:val="00553AB2"/>
    <w:rsid w:val="005571CB"/>
    <w:rsid w:val="0055751D"/>
    <w:rsid w:val="00557CC1"/>
    <w:rsid w:val="00563D25"/>
    <w:rsid w:val="00591299"/>
    <w:rsid w:val="00592345"/>
    <w:rsid w:val="00595D7D"/>
    <w:rsid w:val="00597EC6"/>
    <w:rsid w:val="005A3329"/>
    <w:rsid w:val="005A3551"/>
    <w:rsid w:val="005A3691"/>
    <w:rsid w:val="005A5B51"/>
    <w:rsid w:val="005B1D30"/>
    <w:rsid w:val="005B5BC6"/>
    <w:rsid w:val="005B63A0"/>
    <w:rsid w:val="005C0856"/>
    <w:rsid w:val="005C11EC"/>
    <w:rsid w:val="005D327C"/>
    <w:rsid w:val="005D4475"/>
    <w:rsid w:val="005D59E2"/>
    <w:rsid w:val="005E1A06"/>
    <w:rsid w:val="005E1D66"/>
    <w:rsid w:val="005E303C"/>
    <w:rsid w:val="005E6C13"/>
    <w:rsid w:val="005E6C51"/>
    <w:rsid w:val="005F35AD"/>
    <w:rsid w:val="005F5797"/>
    <w:rsid w:val="005F612C"/>
    <w:rsid w:val="005F75A4"/>
    <w:rsid w:val="006038BE"/>
    <w:rsid w:val="0060499F"/>
    <w:rsid w:val="00604D47"/>
    <w:rsid w:val="00606A16"/>
    <w:rsid w:val="00611269"/>
    <w:rsid w:val="006117A7"/>
    <w:rsid w:val="00616E48"/>
    <w:rsid w:val="00617914"/>
    <w:rsid w:val="00620569"/>
    <w:rsid w:val="00620B1A"/>
    <w:rsid w:val="006236F2"/>
    <w:rsid w:val="00625E7A"/>
    <w:rsid w:val="006279E3"/>
    <w:rsid w:val="00627D0F"/>
    <w:rsid w:val="006310A3"/>
    <w:rsid w:val="006317F4"/>
    <w:rsid w:val="00635004"/>
    <w:rsid w:val="006355D6"/>
    <w:rsid w:val="00637CEE"/>
    <w:rsid w:val="00641195"/>
    <w:rsid w:val="006420F4"/>
    <w:rsid w:val="006424BD"/>
    <w:rsid w:val="00644E57"/>
    <w:rsid w:val="0065140C"/>
    <w:rsid w:val="006547BA"/>
    <w:rsid w:val="00654DB5"/>
    <w:rsid w:val="0065633B"/>
    <w:rsid w:val="00656AA1"/>
    <w:rsid w:val="00656D52"/>
    <w:rsid w:val="00664E44"/>
    <w:rsid w:val="00667162"/>
    <w:rsid w:val="00673FB2"/>
    <w:rsid w:val="00675D1E"/>
    <w:rsid w:val="00683706"/>
    <w:rsid w:val="00695DB3"/>
    <w:rsid w:val="006967A4"/>
    <w:rsid w:val="006A019D"/>
    <w:rsid w:val="006A1B04"/>
    <w:rsid w:val="006A1D17"/>
    <w:rsid w:val="006A2CA4"/>
    <w:rsid w:val="006A7A6D"/>
    <w:rsid w:val="006A7DD0"/>
    <w:rsid w:val="006B36EA"/>
    <w:rsid w:val="006B424D"/>
    <w:rsid w:val="006C0611"/>
    <w:rsid w:val="006C3BB1"/>
    <w:rsid w:val="006D0519"/>
    <w:rsid w:val="006D0BD5"/>
    <w:rsid w:val="006D757F"/>
    <w:rsid w:val="006D7C85"/>
    <w:rsid w:val="006E06EF"/>
    <w:rsid w:val="006E19D4"/>
    <w:rsid w:val="006E250A"/>
    <w:rsid w:val="006F0E3E"/>
    <w:rsid w:val="006F1054"/>
    <w:rsid w:val="006F5F5F"/>
    <w:rsid w:val="006F6E87"/>
    <w:rsid w:val="006F7817"/>
    <w:rsid w:val="006F7B48"/>
    <w:rsid w:val="00700E2C"/>
    <w:rsid w:val="00705878"/>
    <w:rsid w:val="007111B7"/>
    <w:rsid w:val="00711A81"/>
    <w:rsid w:val="0072039B"/>
    <w:rsid w:val="007210E2"/>
    <w:rsid w:val="00722C32"/>
    <w:rsid w:val="007243A9"/>
    <w:rsid w:val="0072544F"/>
    <w:rsid w:val="00725B9F"/>
    <w:rsid w:val="00731BF5"/>
    <w:rsid w:val="0073400B"/>
    <w:rsid w:val="0073447B"/>
    <w:rsid w:val="007503DA"/>
    <w:rsid w:val="00756477"/>
    <w:rsid w:val="00762411"/>
    <w:rsid w:val="00777BC0"/>
    <w:rsid w:val="00777F88"/>
    <w:rsid w:val="00780E76"/>
    <w:rsid w:val="007828CB"/>
    <w:rsid w:val="00783ABE"/>
    <w:rsid w:val="00786D15"/>
    <w:rsid w:val="0079118D"/>
    <w:rsid w:val="007911F8"/>
    <w:rsid w:val="00791526"/>
    <w:rsid w:val="007938CC"/>
    <w:rsid w:val="00795484"/>
    <w:rsid w:val="007966FA"/>
    <w:rsid w:val="007A0BC9"/>
    <w:rsid w:val="007A3BB0"/>
    <w:rsid w:val="007B1452"/>
    <w:rsid w:val="007C4B96"/>
    <w:rsid w:val="007C772B"/>
    <w:rsid w:val="007D389B"/>
    <w:rsid w:val="007D3AF3"/>
    <w:rsid w:val="007D580E"/>
    <w:rsid w:val="007D6E01"/>
    <w:rsid w:val="007E0A2D"/>
    <w:rsid w:val="007E6253"/>
    <w:rsid w:val="007F3AF3"/>
    <w:rsid w:val="007F4542"/>
    <w:rsid w:val="007F75B6"/>
    <w:rsid w:val="007F7BCB"/>
    <w:rsid w:val="007F7E25"/>
    <w:rsid w:val="0080191A"/>
    <w:rsid w:val="00802F00"/>
    <w:rsid w:val="00812F4A"/>
    <w:rsid w:val="0081330D"/>
    <w:rsid w:val="00815375"/>
    <w:rsid w:val="008164BD"/>
    <w:rsid w:val="00820EF3"/>
    <w:rsid w:val="00824263"/>
    <w:rsid w:val="00824C6D"/>
    <w:rsid w:val="008256C4"/>
    <w:rsid w:val="00830F5A"/>
    <w:rsid w:val="00840A23"/>
    <w:rsid w:val="008423FF"/>
    <w:rsid w:val="00843326"/>
    <w:rsid w:val="00846B64"/>
    <w:rsid w:val="00852092"/>
    <w:rsid w:val="00855F2E"/>
    <w:rsid w:val="008560EA"/>
    <w:rsid w:val="008567F8"/>
    <w:rsid w:val="00864A7B"/>
    <w:rsid w:val="00864B5A"/>
    <w:rsid w:val="00866F17"/>
    <w:rsid w:val="00880ACB"/>
    <w:rsid w:val="00883A66"/>
    <w:rsid w:val="00884F97"/>
    <w:rsid w:val="00885264"/>
    <w:rsid w:val="008863C6"/>
    <w:rsid w:val="008A0B31"/>
    <w:rsid w:val="008A1618"/>
    <w:rsid w:val="008A480A"/>
    <w:rsid w:val="008A7CCC"/>
    <w:rsid w:val="008B1279"/>
    <w:rsid w:val="008B6360"/>
    <w:rsid w:val="008C7D64"/>
    <w:rsid w:val="008D1752"/>
    <w:rsid w:val="008D3D56"/>
    <w:rsid w:val="008D4513"/>
    <w:rsid w:val="008D4BD5"/>
    <w:rsid w:val="008D6352"/>
    <w:rsid w:val="008E0BE7"/>
    <w:rsid w:val="008E4A35"/>
    <w:rsid w:val="008E4BB8"/>
    <w:rsid w:val="008E5D24"/>
    <w:rsid w:val="008E61CD"/>
    <w:rsid w:val="008E64E1"/>
    <w:rsid w:val="008F05F8"/>
    <w:rsid w:val="008F27DA"/>
    <w:rsid w:val="008F4750"/>
    <w:rsid w:val="008F5648"/>
    <w:rsid w:val="00902EF0"/>
    <w:rsid w:val="00903010"/>
    <w:rsid w:val="009075A4"/>
    <w:rsid w:val="00912BFE"/>
    <w:rsid w:val="009147CD"/>
    <w:rsid w:val="00920924"/>
    <w:rsid w:val="0092248D"/>
    <w:rsid w:val="009241DD"/>
    <w:rsid w:val="0093048E"/>
    <w:rsid w:val="00930B3A"/>
    <w:rsid w:val="009409E2"/>
    <w:rsid w:val="00941BB3"/>
    <w:rsid w:val="00944837"/>
    <w:rsid w:val="0095772B"/>
    <w:rsid w:val="00957ABC"/>
    <w:rsid w:val="00963F07"/>
    <w:rsid w:val="009704EC"/>
    <w:rsid w:val="00971654"/>
    <w:rsid w:val="00976D55"/>
    <w:rsid w:val="00981DE3"/>
    <w:rsid w:val="0099064A"/>
    <w:rsid w:val="00990F88"/>
    <w:rsid w:val="00997131"/>
    <w:rsid w:val="009A1708"/>
    <w:rsid w:val="009A1F6B"/>
    <w:rsid w:val="009A7D48"/>
    <w:rsid w:val="009C129A"/>
    <w:rsid w:val="009C3D77"/>
    <w:rsid w:val="009C4BC5"/>
    <w:rsid w:val="009D04C3"/>
    <w:rsid w:val="009D4A9F"/>
    <w:rsid w:val="009D7A77"/>
    <w:rsid w:val="009E0A6F"/>
    <w:rsid w:val="009E3D9B"/>
    <w:rsid w:val="009E47DF"/>
    <w:rsid w:val="009E7F8D"/>
    <w:rsid w:val="009F485B"/>
    <w:rsid w:val="009F6197"/>
    <w:rsid w:val="009F7913"/>
    <w:rsid w:val="00A00779"/>
    <w:rsid w:val="00A22EF9"/>
    <w:rsid w:val="00A246E4"/>
    <w:rsid w:val="00A24A3F"/>
    <w:rsid w:val="00A2683B"/>
    <w:rsid w:val="00A30DCE"/>
    <w:rsid w:val="00A31E5E"/>
    <w:rsid w:val="00A33B8D"/>
    <w:rsid w:val="00A41C5E"/>
    <w:rsid w:val="00A47D2F"/>
    <w:rsid w:val="00A53525"/>
    <w:rsid w:val="00A60FCF"/>
    <w:rsid w:val="00A63C69"/>
    <w:rsid w:val="00A718F7"/>
    <w:rsid w:val="00A733B7"/>
    <w:rsid w:val="00A74E66"/>
    <w:rsid w:val="00A75DE1"/>
    <w:rsid w:val="00A75E60"/>
    <w:rsid w:val="00A7754B"/>
    <w:rsid w:val="00A80321"/>
    <w:rsid w:val="00A8467F"/>
    <w:rsid w:val="00A8525C"/>
    <w:rsid w:val="00A85A83"/>
    <w:rsid w:val="00A91A24"/>
    <w:rsid w:val="00A93131"/>
    <w:rsid w:val="00A95F26"/>
    <w:rsid w:val="00AA26C0"/>
    <w:rsid w:val="00AA33BD"/>
    <w:rsid w:val="00AA4D35"/>
    <w:rsid w:val="00AA6453"/>
    <w:rsid w:val="00AA6F7F"/>
    <w:rsid w:val="00AB01C3"/>
    <w:rsid w:val="00AB3898"/>
    <w:rsid w:val="00AB7A9A"/>
    <w:rsid w:val="00AC1521"/>
    <w:rsid w:val="00AC7B60"/>
    <w:rsid w:val="00AD3E7B"/>
    <w:rsid w:val="00AD5734"/>
    <w:rsid w:val="00AD5B7C"/>
    <w:rsid w:val="00AE6448"/>
    <w:rsid w:val="00AF2732"/>
    <w:rsid w:val="00AF48A6"/>
    <w:rsid w:val="00AF5E8B"/>
    <w:rsid w:val="00AF742C"/>
    <w:rsid w:val="00B00527"/>
    <w:rsid w:val="00B01E02"/>
    <w:rsid w:val="00B0284D"/>
    <w:rsid w:val="00B11520"/>
    <w:rsid w:val="00B11902"/>
    <w:rsid w:val="00B24600"/>
    <w:rsid w:val="00B2700B"/>
    <w:rsid w:val="00B310BF"/>
    <w:rsid w:val="00B37CF2"/>
    <w:rsid w:val="00B40F2D"/>
    <w:rsid w:val="00B41211"/>
    <w:rsid w:val="00B43E28"/>
    <w:rsid w:val="00B44A19"/>
    <w:rsid w:val="00B63D6C"/>
    <w:rsid w:val="00B64172"/>
    <w:rsid w:val="00B646C7"/>
    <w:rsid w:val="00B739E0"/>
    <w:rsid w:val="00B81969"/>
    <w:rsid w:val="00B8236A"/>
    <w:rsid w:val="00B8454B"/>
    <w:rsid w:val="00B879C4"/>
    <w:rsid w:val="00BA27C3"/>
    <w:rsid w:val="00BA2ADC"/>
    <w:rsid w:val="00BA4359"/>
    <w:rsid w:val="00BA4ECF"/>
    <w:rsid w:val="00BB31CB"/>
    <w:rsid w:val="00BB3647"/>
    <w:rsid w:val="00BB7A51"/>
    <w:rsid w:val="00BC17E5"/>
    <w:rsid w:val="00BD2419"/>
    <w:rsid w:val="00BD5B00"/>
    <w:rsid w:val="00BE0AFF"/>
    <w:rsid w:val="00BE3969"/>
    <w:rsid w:val="00BF46C2"/>
    <w:rsid w:val="00C0181E"/>
    <w:rsid w:val="00C05F93"/>
    <w:rsid w:val="00C21CF3"/>
    <w:rsid w:val="00C253D6"/>
    <w:rsid w:val="00C259FB"/>
    <w:rsid w:val="00C25A70"/>
    <w:rsid w:val="00C2750E"/>
    <w:rsid w:val="00C27541"/>
    <w:rsid w:val="00C37A41"/>
    <w:rsid w:val="00C405CC"/>
    <w:rsid w:val="00C419FB"/>
    <w:rsid w:val="00C4485D"/>
    <w:rsid w:val="00C460B3"/>
    <w:rsid w:val="00C57B00"/>
    <w:rsid w:val="00C61FB3"/>
    <w:rsid w:val="00C64442"/>
    <w:rsid w:val="00C64E63"/>
    <w:rsid w:val="00C730D2"/>
    <w:rsid w:val="00C763C6"/>
    <w:rsid w:val="00C7649C"/>
    <w:rsid w:val="00C83A83"/>
    <w:rsid w:val="00C85FFC"/>
    <w:rsid w:val="00C87EA0"/>
    <w:rsid w:val="00C93C9C"/>
    <w:rsid w:val="00C97248"/>
    <w:rsid w:val="00CA42FD"/>
    <w:rsid w:val="00CA5E9A"/>
    <w:rsid w:val="00CB57A7"/>
    <w:rsid w:val="00CC1566"/>
    <w:rsid w:val="00CC2586"/>
    <w:rsid w:val="00CC6E39"/>
    <w:rsid w:val="00CC7FF4"/>
    <w:rsid w:val="00CD0A17"/>
    <w:rsid w:val="00CD1AD9"/>
    <w:rsid w:val="00CD1DE1"/>
    <w:rsid w:val="00CD2F7A"/>
    <w:rsid w:val="00CD57D4"/>
    <w:rsid w:val="00CD5AA6"/>
    <w:rsid w:val="00CE0104"/>
    <w:rsid w:val="00CE2355"/>
    <w:rsid w:val="00CE3BFF"/>
    <w:rsid w:val="00CE6BB0"/>
    <w:rsid w:val="00CF008C"/>
    <w:rsid w:val="00CF3CAC"/>
    <w:rsid w:val="00D00F74"/>
    <w:rsid w:val="00D02DC0"/>
    <w:rsid w:val="00D11EBA"/>
    <w:rsid w:val="00D17382"/>
    <w:rsid w:val="00D20274"/>
    <w:rsid w:val="00D211C6"/>
    <w:rsid w:val="00D2510D"/>
    <w:rsid w:val="00D30D4E"/>
    <w:rsid w:val="00D30D8B"/>
    <w:rsid w:val="00D3361B"/>
    <w:rsid w:val="00D35159"/>
    <w:rsid w:val="00D363A4"/>
    <w:rsid w:val="00D40C72"/>
    <w:rsid w:val="00D42526"/>
    <w:rsid w:val="00D44078"/>
    <w:rsid w:val="00D45B70"/>
    <w:rsid w:val="00D47147"/>
    <w:rsid w:val="00D51C0B"/>
    <w:rsid w:val="00D52ACC"/>
    <w:rsid w:val="00D5426B"/>
    <w:rsid w:val="00D60EC6"/>
    <w:rsid w:val="00D62F7A"/>
    <w:rsid w:val="00D6329E"/>
    <w:rsid w:val="00D6692A"/>
    <w:rsid w:val="00D7781F"/>
    <w:rsid w:val="00D85CA6"/>
    <w:rsid w:val="00D87B93"/>
    <w:rsid w:val="00D928A4"/>
    <w:rsid w:val="00D933A4"/>
    <w:rsid w:val="00D94AD7"/>
    <w:rsid w:val="00DA3E7A"/>
    <w:rsid w:val="00DB1419"/>
    <w:rsid w:val="00DB412C"/>
    <w:rsid w:val="00DB56FA"/>
    <w:rsid w:val="00DB5AD3"/>
    <w:rsid w:val="00DC0161"/>
    <w:rsid w:val="00DC1FFC"/>
    <w:rsid w:val="00DC5E48"/>
    <w:rsid w:val="00DD4A92"/>
    <w:rsid w:val="00DD6D13"/>
    <w:rsid w:val="00DE19AA"/>
    <w:rsid w:val="00DE558C"/>
    <w:rsid w:val="00DE5E58"/>
    <w:rsid w:val="00DE772D"/>
    <w:rsid w:val="00DF0165"/>
    <w:rsid w:val="00DF23B2"/>
    <w:rsid w:val="00DF69E8"/>
    <w:rsid w:val="00DF76BF"/>
    <w:rsid w:val="00E03E3E"/>
    <w:rsid w:val="00E05C35"/>
    <w:rsid w:val="00E05D22"/>
    <w:rsid w:val="00E0721C"/>
    <w:rsid w:val="00E1289C"/>
    <w:rsid w:val="00E15D0C"/>
    <w:rsid w:val="00E17999"/>
    <w:rsid w:val="00E2468B"/>
    <w:rsid w:val="00E2501E"/>
    <w:rsid w:val="00E26156"/>
    <w:rsid w:val="00E3092F"/>
    <w:rsid w:val="00E332ED"/>
    <w:rsid w:val="00E33384"/>
    <w:rsid w:val="00E33586"/>
    <w:rsid w:val="00E3520D"/>
    <w:rsid w:val="00E36403"/>
    <w:rsid w:val="00E36C22"/>
    <w:rsid w:val="00E41810"/>
    <w:rsid w:val="00E477E8"/>
    <w:rsid w:val="00E568F4"/>
    <w:rsid w:val="00E56BC3"/>
    <w:rsid w:val="00E57D5E"/>
    <w:rsid w:val="00E63771"/>
    <w:rsid w:val="00E64195"/>
    <w:rsid w:val="00E65838"/>
    <w:rsid w:val="00E72741"/>
    <w:rsid w:val="00E82448"/>
    <w:rsid w:val="00E916A1"/>
    <w:rsid w:val="00E979DE"/>
    <w:rsid w:val="00EA2400"/>
    <w:rsid w:val="00EA284B"/>
    <w:rsid w:val="00EA3DFE"/>
    <w:rsid w:val="00EA51B3"/>
    <w:rsid w:val="00EB06F0"/>
    <w:rsid w:val="00EB0DE5"/>
    <w:rsid w:val="00EB101B"/>
    <w:rsid w:val="00EB2437"/>
    <w:rsid w:val="00EB68CD"/>
    <w:rsid w:val="00EC2C47"/>
    <w:rsid w:val="00EC398D"/>
    <w:rsid w:val="00EC7A18"/>
    <w:rsid w:val="00ED19A6"/>
    <w:rsid w:val="00ED27EF"/>
    <w:rsid w:val="00ED3AF3"/>
    <w:rsid w:val="00ED4946"/>
    <w:rsid w:val="00ED79A9"/>
    <w:rsid w:val="00ED7AB4"/>
    <w:rsid w:val="00EF32BD"/>
    <w:rsid w:val="00EF7CFE"/>
    <w:rsid w:val="00F1775E"/>
    <w:rsid w:val="00F21B5D"/>
    <w:rsid w:val="00F21D7F"/>
    <w:rsid w:val="00F25F85"/>
    <w:rsid w:val="00F25F92"/>
    <w:rsid w:val="00F26B5D"/>
    <w:rsid w:val="00F3041B"/>
    <w:rsid w:val="00F3240F"/>
    <w:rsid w:val="00F32E75"/>
    <w:rsid w:val="00F35662"/>
    <w:rsid w:val="00F35B8D"/>
    <w:rsid w:val="00F5369C"/>
    <w:rsid w:val="00F54243"/>
    <w:rsid w:val="00F542F7"/>
    <w:rsid w:val="00F54FF2"/>
    <w:rsid w:val="00F6142E"/>
    <w:rsid w:val="00F62942"/>
    <w:rsid w:val="00F712BC"/>
    <w:rsid w:val="00F753BA"/>
    <w:rsid w:val="00F8012D"/>
    <w:rsid w:val="00F80338"/>
    <w:rsid w:val="00F80E09"/>
    <w:rsid w:val="00F865FB"/>
    <w:rsid w:val="00F928F6"/>
    <w:rsid w:val="00F953C6"/>
    <w:rsid w:val="00F96488"/>
    <w:rsid w:val="00F96E90"/>
    <w:rsid w:val="00F97CEF"/>
    <w:rsid w:val="00FA5E38"/>
    <w:rsid w:val="00FB17B4"/>
    <w:rsid w:val="00FB2891"/>
    <w:rsid w:val="00FB294A"/>
    <w:rsid w:val="00FB3B8D"/>
    <w:rsid w:val="00FB491C"/>
    <w:rsid w:val="00FB4A8B"/>
    <w:rsid w:val="00FB60CC"/>
    <w:rsid w:val="00FB632B"/>
    <w:rsid w:val="00FB6C49"/>
    <w:rsid w:val="00FC14CE"/>
    <w:rsid w:val="00FC3252"/>
    <w:rsid w:val="00FC7573"/>
    <w:rsid w:val="00FC7CA4"/>
    <w:rsid w:val="00FD046B"/>
    <w:rsid w:val="00FD2043"/>
    <w:rsid w:val="00FD65AB"/>
    <w:rsid w:val="00FF1D99"/>
    <w:rsid w:val="00FF73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3F800"/>
  <w15:docId w15:val="{8BD926B3-C520-4C45-98E7-D5CD9683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EndnoteText">
    <w:name w:val="endnote text"/>
    <w:basedOn w:val="Normal"/>
    <w:link w:val="EndnoteTextChar"/>
    <w:rsid w:val="00E2468B"/>
    <w:rPr>
      <w:sz w:val="20"/>
      <w:szCs w:val="20"/>
    </w:rPr>
  </w:style>
  <w:style w:type="character" w:customStyle="1" w:styleId="EndnoteTextChar">
    <w:name w:val="Endnote Text Char"/>
    <w:basedOn w:val="DefaultParagraphFont"/>
    <w:link w:val="EndnoteText"/>
    <w:rsid w:val="00E2468B"/>
    <w:rPr>
      <w:rFonts w:ascii="Times New Roman" w:hAnsi="Times New Roman"/>
      <w:lang w:eastAsia="en-US"/>
    </w:rPr>
  </w:style>
  <w:style w:type="character" w:styleId="EndnoteReference">
    <w:name w:val="endnote reference"/>
    <w:basedOn w:val="DefaultParagraphFont"/>
    <w:rsid w:val="00E2468B"/>
    <w:rPr>
      <w:vertAlign w:val="superscript"/>
    </w:rPr>
  </w:style>
  <w:style w:type="paragraph" w:styleId="BalloonText">
    <w:name w:val="Balloon Text"/>
    <w:basedOn w:val="Normal"/>
    <w:link w:val="BalloonTextChar"/>
    <w:rsid w:val="00D45B70"/>
    <w:rPr>
      <w:rFonts w:ascii="Tahoma" w:hAnsi="Tahoma" w:cs="Tahoma"/>
      <w:sz w:val="16"/>
      <w:szCs w:val="16"/>
    </w:rPr>
  </w:style>
  <w:style w:type="character" w:customStyle="1" w:styleId="BalloonTextChar">
    <w:name w:val="Balloon Text Char"/>
    <w:basedOn w:val="DefaultParagraphFont"/>
    <w:link w:val="BalloonText"/>
    <w:rsid w:val="00D45B70"/>
    <w:rPr>
      <w:rFonts w:ascii="Tahoma" w:hAnsi="Tahoma" w:cs="Tahoma"/>
      <w:sz w:val="16"/>
      <w:szCs w:val="16"/>
      <w:lang w:eastAsia="en-US"/>
    </w:rPr>
  </w:style>
  <w:style w:type="character" w:styleId="CommentReference">
    <w:name w:val="annotation reference"/>
    <w:basedOn w:val="DefaultParagraphFont"/>
    <w:uiPriority w:val="99"/>
    <w:rsid w:val="00323298"/>
    <w:rPr>
      <w:sz w:val="16"/>
      <w:szCs w:val="16"/>
    </w:rPr>
  </w:style>
  <w:style w:type="paragraph" w:styleId="CommentText">
    <w:name w:val="annotation text"/>
    <w:basedOn w:val="Normal"/>
    <w:link w:val="CommentTextChar"/>
    <w:uiPriority w:val="99"/>
    <w:rsid w:val="00323298"/>
    <w:rPr>
      <w:sz w:val="20"/>
      <w:szCs w:val="20"/>
    </w:rPr>
  </w:style>
  <w:style w:type="character" w:customStyle="1" w:styleId="CommentTextChar">
    <w:name w:val="Comment Text Char"/>
    <w:basedOn w:val="DefaultParagraphFont"/>
    <w:link w:val="CommentText"/>
    <w:uiPriority w:val="99"/>
    <w:rsid w:val="00323298"/>
    <w:rPr>
      <w:rFonts w:ascii="Times New Roman" w:hAnsi="Times New Roman"/>
      <w:lang w:eastAsia="en-US"/>
    </w:rPr>
  </w:style>
  <w:style w:type="paragraph" w:styleId="CommentSubject">
    <w:name w:val="annotation subject"/>
    <w:basedOn w:val="CommentText"/>
    <w:next w:val="CommentText"/>
    <w:link w:val="CommentSubjectChar"/>
    <w:rsid w:val="00323298"/>
    <w:rPr>
      <w:b/>
      <w:bCs/>
    </w:rPr>
  </w:style>
  <w:style w:type="character" w:customStyle="1" w:styleId="CommentSubjectChar">
    <w:name w:val="Comment Subject Char"/>
    <w:basedOn w:val="CommentTextChar"/>
    <w:link w:val="CommentSubject"/>
    <w:rsid w:val="00323298"/>
    <w:rPr>
      <w:rFonts w:ascii="Times New Roman" w:hAnsi="Times New Roman"/>
      <w:b/>
      <w:bCs/>
      <w:lang w:eastAsia="en-US"/>
    </w:rPr>
  </w:style>
  <w:style w:type="paragraph" w:styleId="Header">
    <w:name w:val="header"/>
    <w:basedOn w:val="Normal"/>
    <w:link w:val="HeaderChar"/>
    <w:rsid w:val="00C61FB3"/>
    <w:pPr>
      <w:tabs>
        <w:tab w:val="center" w:pos="4536"/>
        <w:tab w:val="right" w:pos="9072"/>
      </w:tabs>
    </w:pPr>
  </w:style>
  <w:style w:type="character" w:customStyle="1" w:styleId="HeaderChar">
    <w:name w:val="Header Char"/>
    <w:basedOn w:val="DefaultParagraphFont"/>
    <w:link w:val="Header"/>
    <w:rsid w:val="00C61FB3"/>
    <w:rPr>
      <w:rFonts w:ascii="Times New Roman" w:hAnsi="Times New Roman"/>
      <w:sz w:val="24"/>
      <w:szCs w:val="24"/>
      <w:lang w:eastAsia="en-US"/>
    </w:rPr>
  </w:style>
  <w:style w:type="paragraph" w:styleId="Footer">
    <w:name w:val="footer"/>
    <w:basedOn w:val="Normal"/>
    <w:link w:val="FooterChar"/>
    <w:uiPriority w:val="99"/>
    <w:rsid w:val="00C61FB3"/>
    <w:pPr>
      <w:tabs>
        <w:tab w:val="center" w:pos="4536"/>
        <w:tab w:val="right" w:pos="9072"/>
      </w:tabs>
    </w:pPr>
  </w:style>
  <w:style w:type="character" w:customStyle="1" w:styleId="FooterChar">
    <w:name w:val="Footer Char"/>
    <w:basedOn w:val="DefaultParagraphFont"/>
    <w:link w:val="Footer"/>
    <w:uiPriority w:val="99"/>
    <w:rsid w:val="00C61FB3"/>
    <w:rPr>
      <w:rFonts w:ascii="Times New Roman" w:hAnsi="Times New Roman"/>
      <w:sz w:val="24"/>
      <w:szCs w:val="24"/>
      <w:lang w:eastAsia="en-US"/>
    </w:rPr>
  </w:style>
  <w:style w:type="paragraph" w:styleId="FootnoteText">
    <w:name w:val="footnote text"/>
    <w:basedOn w:val="Normal"/>
    <w:link w:val="FootnoteTextChar"/>
    <w:rsid w:val="0073400B"/>
    <w:rPr>
      <w:sz w:val="20"/>
      <w:szCs w:val="20"/>
    </w:rPr>
  </w:style>
  <w:style w:type="character" w:customStyle="1" w:styleId="FootnoteTextChar">
    <w:name w:val="Footnote Text Char"/>
    <w:basedOn w:val="DefaultParagraphFont"/>
    <w:link w:val="FootnoteText"/>
    <w:rsid w:val="0073400B"/>
    <w:rPr>
      <w:rFonts w:ascii="Times New Roman" w:hAnsi="Times New Roman"/>
      <w:lang w:eastAsia="en-US"/>
    </w:rPr>
  </w:style>
  <w:style w:type="character" w:styleId="FootnoteReference">
    <w:name w:val="footnote reference"/>
    <w:basedOn w:val="DefaultParagraphFont"/>
    <w:rsid w:val="0073400B"/>
    <w:rPr>
      <w:vertAlign w:val="superscript"/>
    </w:rPr>
  </w:style>
  <w:style w:type="character" w:styleId="Strong">
    <w:name w:val="Strong"/>
    <w:basedOn w:val="DefaultParagraphFont"/>
    <w:uiPriority w:val="22"/>
    <w:qFormat/>
    <w:rsid w:val="00A8467F"/>
    <w:rPr>
      <w:b/>
      <w:bCs/>
    </w:rPr>
  </w:style>
  <w:style w:type="paragraph" w:styleId="NormalWeb">
    <w:name w:val="Normal (Web)"/>
    <w:basedOn w:val="Normal"/>
    <w:uiPriority w:val="99"/>
    <w:semiHidden/>
    <w:unhideWhenUsed/>
    <w:rsid w:val="00A8467F"/>
    <w:pPr>
      <w:autoSpaceDE/>
      <w:autoSpaceDN/>
      <w:spacing w:before="100" w:beforeAutospacing="1" w:after="100" w:afterAutospacing="1"/>
    </w:pPr>
    <w:rPr>
      <w:lang w:eastAsia="et-EE"/>
    </w:rPr>
  </w:style>
  <w:style w:type="character" w:styleId="Hyperlink">
    <w:name w:val="Hyperlink"/>
    <w:basedOn w:val="DefaultParagraphFont"/>
    <w:uiPriority w:val="99"/>
    <w:semiHidden/>
    <w:unhideWhenUsed/>
    <w:rsid w:val="00A8467F"/>
    <w:rPr>
      <w:color w:val="0000FF"/>
      <w:u w:val="single"/>
    </w:rPr>
  </w:style>
  <w:style w:type="character" w:customStyle="1" w:styleId="mm">
    <w:name w:val="mm"/>
    <w:basedOn w:val="DefaultParagraphFont"/>
    <w:rsid w:val="00A8467F"/>
  </w:style>
  <w:style w:type="paragraph" w:styleId="Revision">
    <w:name w:val="Revision"/>
    <w:hidden/>
    <w:uiPriority w:val="99"/>
    <w:semiHidden/>
    <w:rsid w:val="005E1A06"/>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5419">
      <w:bodyDiv w:val="1"/>
      <w:marLeft w:val="0"/>
      <w:marRight w:val="0"/>
      <w:marTop w:val="0"/>
      <w:marBottom w:val="0"/>
      <w:divBdr>
        <w:top w:val="none" w:sz="0" w:space="0" w:color="auto"/>
        <w:left w:val="none" w:sz="0" w:space="0" w:color="auto"/>
        <w:bottom w:val="none" w:sz="0" w:space="0" w:color="auto"/>
        <w:right w:val="none" w:sz="0" w:space="0" w:color="auto"/>
      </w:divBdr>
      <w:divsChild>
        <w:div w:id="1590251">
          <w:marLeft w:val="0"/>
          <w:marRight w:val="0"/>
          <w:marTop w:val="0"/>
          <w:marBottom w:val="0"/>
          <w:divBdr>
            <w:top w:val="none" w:sz="0" w:space="0" w:color="auto"/>
            <w:left w:val="none" w:sz="0" w:space="0" w:color="auto"/>
            <w:bottom w:val="none" w:sz="0" w:space="0" w:color="auto"/>
            <w:right w:val="none" w:sz="0" w:space="0" w:color="auto"/>
          </w:divBdr>
        </w:div>
        <w:div w:id="13532000">
          <w:marLeft w:val="0"/>
          <w:marRight w:val="0"/>
          <w:marTop w:val="0"/>
          <w:marBottom w:val="0"/>
          <w:divBdr>
            <w:top w:val="none" w:sz="0" w:space="0" w:color="auto"/>
            <w:left w:val="none" w:sz="0" w:space="0" w:color="auto"/>
            <w:bottom w:val="none" w:sz="0" w:space="0" w:color="auto"/>
            <w:right w:val="none" w:sz="0" w:space="0" w:color="auto"/>
          </w:divBdr>
        </w:div>
        <w:div w:id="283393798">
          <w:marLeft w:val="0"/>
          <w:marRight w:val="0"/>
          <w:marTop w:val="0"/>
          <w:marBottom w:val="0"/>
          <w:divBdr>
            <w:top w:val="none" w:sz="0" w:space="0" w:color="auto"/>
            <w:left w:val="none" w:sz="0" w:space="0" w:color="auto"/>
            <w:bottom w:val="none" w:sz="0" w:space="0" w:color="auto"/>
            <w:right w:val="none" w:sz="0" w:space="0" w:color="auto"/>
          </w:divBdr>
        </w:div>
        <w:div w:id="292297370">
          <w:marLeft w:val="0"/>
          <w:marRight w:val="0"/>
          <w:marTop w:val="0"/>
          <w:marBottom w:val="0"/>
          <w:divBdr>
            <w:top w:val="none" w:sz="0" w:space="0" w:color="auto"/>
            <w:left w:val="none" w:sz="0" w:space="0" w:color="auto"/>
            <w:bottom w:val="none" w:sz="0" w:space="0" w:color="auto"/>
            <w:right w:val="none" w:sz="0" w:space="0" w:color="auto"/>
          </w:divBdr>
        </w:div>
        <w:div w:id="335813680">
          <w:marLeft w:val="0"/>
          <w:marRight w:val="0"/>
          <w:marTop w:val="0"/>
          <w:marBottom w:val="0"/>
          <w:divBdr>
            <w:top w:val="none" w:sz="0" w:space="0" w:color="auto"/>
            <w:left w:val="none" w:sz="0" w:space="0" w:color="auto"/>
            <w:bottom w:val="none" w:sz="0" w:space="0" w:color="auto"/>
            <w:right w:val="none" w:sz="0" w:space="0" w:color="auto"/>
          </w:divBdr>
        </w:div>
        <w:div w:id="479661267">
          <w:marLeft w:val="0"/>
          <w:marRight w:val="0"/>
          <w:marTop w:val="0"/>
          <w:marBottom w:val="0"/>
          <w:divBdr>
            <w:top w:val="none" w:sz="0" w:space="0" w:color="auto"/>
            <w:left w:val="none" w:sz="0" w:space="0" w:color="auto"/>
            <w:bottom w:val="none" w:sz="0" w:space="0" w:color="auto"/>
            <w:right w:val="none" w:sz="0" w:space="0" w:color="auto"/>
          </w:divBdr>
        </w:div>
        <w:div w:id="619804942">
          <w:marLeft w:val="0"/>
          <w:marRight w:val="0"/>
          <w:marTop w:val="0"/>
          <w:marBottom w:val="0"/>
          <w:divBdr>
            <w:top w:val="none" w:sz="0" w:space="0" w:color="auto"/>
            <w:left w:val="none" w:sz="0" w:space="0" w:color="auto"/>
            <w:bottom w:val="none" w:sz="0" w:space="0" w:color="auto"/>
            <w:right w:val="none" w:sz="0" w:space="0" w:color="auto"/>
          </w:divBdr>
        </w:div>
        <w:div w:id="787309701">
          <w:marLeft w:val="0"/>
          <w:marRight w:val="0"/>
          <w:marTop w:val="0"/>
          <w:marBottom w:val="0"/>
          <w:divBdr>
            <w:top w:val="none" w:sz="0" w:space="0" w:color="auto"/>
            <w:left w:val="none" w:sz="0" w:space="0" w:color="auto"/>
            <w:bottom w:val="none" w:sz="0" w:space="0" w:color="auto"/>
            <w:right w:val="none" w:sz="0" w:space="0" w:color="auto"/>
          </w:divBdr>
        </w:div>
        <w:div w:id="854076031">
          <w:marLeft w:val="0"/>
          <w:marRight w:val="0"/>
          <w:marTop w:val="0"/>
          <w:marBottom w:val="0"/>
          <w:divBdr>
            <w:top w:val="none" w:sz="0" w:space="0" w:color="auto"/>
            <w:left w:val="none" w:sz="0" w:space="0" w:color="auto"/>
            <w:bottom w:val="none" w:sz="0" w:space="0" w:color="auto"/>
            <w:right w:val="none" w:sz="0" w:space="0" w:color="auto"/>
          </w:divBdr>
        </w:div>
        <w:div w:id="912815665">
          <w:marLeft w:val="0"/>
          <w:marRight w:val="0"/>
          <w:marTop w:val="0"/>
          <w:marBottom w:val="0"/>
          <w:divBdr>
            <w:top w:val="none" w:sz="0" w:space="0" w:color="auto"/>
            <w:left w:val="none" w:sz="0" w:space="0" w:color="auto"/>
            <w:bottom w:val="none" w:sz="0" w:space="0" w:color="auto"/>
            <w:right w:val="none" w:sz="0" w:space="0" w:color="auto"/>
          </w:divBdr>
        </w:div>
        <w:div w:id="975717724">
          <w:marLeft w:val="0"/>
          <w:marRight w:val="0"/>
          <w:marTop w:val="0"/>
          <w:marBottom w:val="0"/>
          <w:divBdr>
            <w:top w:val="none" w:sz="0" w:space="0" w:color="auto"/>
            <w:left w:val="none" w:sz="0" w:space="0" w:color="auto"/>
            <w:bottom w:val="none" w:sz="0" w:space="0" w:color="auto"/>
            <w:right w:val="none" w:sz="0" w:space="0" w:color="auto"/>
          </w:divBdr>
        </w:div>
        <w:div w:id="977493543">
          <w:marLeft w:val="0"/>
          <w:marRight w:val="0"/>
          <w:marTop w:val="0"/>
          <w:marBottom w:val="0"/>
          <w:divBdr>
            <w:top w:val="none" w:sz="0" w:space="0" w:color="auto"/>
            <w:left w:val="none" w:sz="0" w:space="0" w:color="auto"/>
            <w:bottom w:val="none" w:sz="0" w:space="0" w:color="auto"/>
            <w:right w:val="none" w:sz="0" w:space="0" w:color="auto"/>
          </w:divBdr>
        </w:div>
        <w:div w:id="1017193395">
          <w:marLeft w:val="0"/>
          <w:marRight w:val="0"/>
          <w:marTop w:val="0"/>
          <w:marBottom w:val="0"/>
          <w:divBdr>
            <w:top w:val="none" w:sz="0" w:space="0" w:color="auto"/>
            <w:left w:val="none" w:sz="0" w:space="0" w:color="auto"/>
            <w:bottom w:val="none" w:sz="0" w:space="0" w:color="auto"/>
            <w:right w:val="none" w:sz="0" w:space="0" w:color="auto"/>
          </w:divBdr>
        </w:div>
        <w:div w:id="1122840578">
          <w:marLeft w:val="0"/>
          <w:marRight w:val="0"/>
          <w:marTop w:val="0"/>
          <w:marBottom w:val="0"/>
          <w:divBdr>
            <w:top w:val="none" w:sz="0" w:space="0" w:color="auto"/>
            <w:left w:val="none" w:sz="0" w:space="0" w:color="auto"/>
            <w:bottom w:val="none" w:sz="0" w:space="0" w:color="auto"/>
            <w:right w:val="none" w:sz="0" w:space="0" w:color="auto"/>
          </w:divBdr>
        </w:div>
        <w:div w:id="1223981868">
          <w:marLeft w:val="0"/>
          <w:marRight w:val="0"/>
          <w:marTop w:val="0"/>
          <w:marBottom w:val="0"/>
          <w:divBdr>
            <w:top w:val="none" w:sz="0" w:space="0" w:color="auto"/>
            <w:left w:val="none" w:sz="0" w:space="0" w:color="auto"/>
            <w:bottom w:val="none" w:sz="0" w:space="0" w:color="auto"/>
            <w:right w:val="none" w:sz="0" w:space="0" w:color="auto"/>
          </w:divBdr>
        </w:div>
        <w:div w:id="1341544494">
          <w:marLeft w:val="0"/>
          <w:marRight w:val="0"/>
          <w:marTop w:val="0"/>
          <w:marBottom w:val="0"/>
          <w:divBdr>
            <w:top w:val="none" w:sz="0" w:space="0" w:color="auto"/>
            <w:left w:val="none" w:sz="0" w:space="0" w:color="auto"/>
            <w:bottom w:val="none" w:sz="0" w:space="0" w:color="auto"/>
            <w:right w:val="none" w:sz="0" w:space="0" w:color="auto"/>
          </w:divBdr>
        </w:div>
        <w:div w:id="1442339993">
          <w:marLeft w:val="0"/>
          <w:marRight w:val="0"/>
          <w:marTop w:val="0"/>
          <w:marBottom w:val="0"/>
          <w:divBdr>
            <w:top w:val="none" w:sz="0" w:space="0" w:color="auto"/>
            <w:left w:val="none" w:sz="0" w:space="0" w:color="auto"/>
            <w:bottom w:val="none" w:sz="0" w:space="0" w:color="auto"/>
            <w:right w:val="none" w:sz="0" w:space="0" w:color="auto"/>
          </w:divBdr>
        </w:div>
        <w:div w:id="1525751705">
          <w:marLeft w:val="0"/>
          <w:marRight w:val="0"/>
          <w:marTop w:val="0"/>
          <w:marBottom w:val="0"/>
          <w:divBdr>
            <w:top w:val="none" w:sz="0" w:space="0" w:color="auto"/>
            <w:left w:val="none" w:sz="0" w:space="0" w:color="auto"/>
            <w:bottom w:val="none" w:sz="0" w:space="0" w:color="auto"/>
            <w:right w:val="none" w:sz="0" w:space="0" w:color="auto"/>
          </w:divBdr>
        </w:div>
        <w:div w:id="1530101532">
          <w:marLeft w:val="0"/>
          <w:marRight w:val="0"/>
          <w:marTop w:val="0"/>
          <w:marBottom w:val="0"/>
          <w:divBdr>
            <w:top w:val="none" w:sz="0" w:space="0" w:color="auto"/>
            <w:left w:val="none" w:sz="0" w:space="0" w:color="auto"/>
            <w:bottom w:val="none" w:sz="0" w:space="0" w:color="auto"/>
            <w:right w:val="none" w:sz="0" w:space="0" w:color="auto"/>
          </w:divBdr>
        </w:div>
        <w:div w:id="1564175974">
          <w:marLeft w:val="0"/>
          <w:marRight w:val="0"/>
          <w:marTop w:val="0"/>
          <w:marBottom w:val="0"/>
          <w:divBdr>
            <w:top w:val="none" w:sz="0" w:space="0" w:color="auto"/>
            <w:left w:val="none" w:sz="0" w:space="0" w:color="auto"/>
            <w:bottom w:val="none" w:sz="0" w:space="0" w:color="auto"/>
            <w:right w:val="none" w:sz="0" w:space="0" w:color="auto"/>
          </w:divBdr>
        </w:div>
        <w:div w:id="1641613924">
          <w:marLeft w:val="0"/>
          <w:marRight w:val="0"/>
          <w:marTop w:val="0"/>
          <w:marBottom w:val="0"/>
          <w:divBdr>
            <w:top w:val="none" w:sz="0" w:space="0" w:color="auto"/>
            <w:left w:val="none" w:sz="0" w:space="0" w:color="auto"/>
            <w:bottom w:val="none" w:sz="0" w:space="0" w:color="auto"/>
            <w:right w:val="none" w:sz="0" w:space="0" w:color="auto"/>
          </w:divBdr>
        </w:div>
        <w:div w:id="1644389326">
          <w:marLeft w:val="0"/>
          <w:marRight w:val="0"/>
          <w:marTop w:val="0"/>
          <w:marBottom w:val="0"/>
          <w:divBdr>
            <w:top w:val="none" w:sz="0" w:space="0" w:color="auto"/>
            <w:left w:val="none" w:sz="0" w:space="0" w:color="auto"/>
            <w:bottom w:val="none" w:sz="0" w:space="0" w:color="auto"/>
            <w:right w:val="none" w:sz="0" w:space="0" w:color="auto"/>
          </w:divBdr>
        </w:div>
        <w:div w:id="1726102431">
          <w:marLeft w:val="0"/>
          <w:marRight w:val="0"/>
          <w:marTop w:val="0"/>
          <w:marBottom w:val="0"/>
          <w:divBdr>
            <w:top w:val="none" w:sz="0" w:space="0" w:color="auto"/>
            <w:left w:val="none" w:sz="0" w:space="0" w:color="auto"/>
            <w:bottom w:val="none" w:sz="0" w:space="0" w:color="auto"/>
            <w:right w:val="none" w:sz="0" w:space="0" w:color="auto"/>
          </w:divBdr>
        </w:div>
        <w:div w:id="1800686522">
          <w:marLeft w:val="0"/>
          <w:marRight w:val="0"/>
          <w:marTop w:val="0"/>
          <w:marBottom w:val="0"/>
          <w:divBdr>
            <w:top w:val="none" w:sz="0" w:space="0" w:color="auto"/>
            <w:left w:val="none" w:sz="0" w:space="0" w:color="auto"/>
            <w:bottom w:val="none" w:sz="0" w:space="0" w:color="auto"/>
            <w:right w:val="none" w:sz="0" w:space="0" w:color="auto"/>
          </w:divBdr>
        </w:div>
        <w:div w:id="1806581056">
          <w:marLeft w:val="0"/>
          <w:marRight w:val="0"/>
          <w:marTop w:val="0"/>
          <w:marBottom w:val="0"/>
          <w:divBdr>
            <w:top w:val="none" w:sz="0" w:space="0" w:color="auto"/>
            <w:left w:val="none" w:sz="0" w:space="0" w:color="auto"/>
            <w:bottom w:val="none" w:sz="0" w:space="0" w:color="auto"/>
            <w:right w:val="none" w:sz="0" w:space="0" w:color="auto"/>
          </w:divBdr>
        </w:div>
        <w:div w:id="1891840400">
          <w:marLeft w:val="0"/>
          <w:marRight w:val="0"/>
          <w:marTop w:val="0"/>
          <w:marBottom w:val="0"/>
          <w:divBdr>
            <w:top w:val="none" w:sz="0" w:space="0" w:color="auto"/>
            <w:left w:val="none" w:sz="0" w:space="0" w:color="auto"/>
            <w:bottom w:val="none" w:sz="0" w:space="0" w:color="auto"/>
            <w:right w:val="none" w:sz="0" w:space="0" w:color="auto"/>
          </w:divBdr>
        </w:div>
        <w:div w:id="2040665101">
          <w:marLeft w:val="0"/>
          <w:marRight w:val="0"/>
          <w:marTop w:val="0"/>
          <w:marBottom w:val="0"/>
          <w:divBdr>
            <w:top w:val="none" w:sz="0" w:space="0" w:color="auto"/>
            <w:left w:val="none" w:sz="0" w:space="0" w:color="auto"/>
            <w:bottom w:val="none" w:sz="0" w:space="0" w:color="auto"/>
            <w:right w:val="none" w:sz="0" w:space="0" w:color="auto"/>
          </w:divBdr>
        </w:div>
        <w:div w:id="2062708787">
          <w:marLeft w:val="0"/>
          <w:marRight w:val="0"/>
          <w:marTop w:val="0"/>
          <w:marBottom w:val="0"/>
          <w:divBdr>
            <w:top w:val="none" w:sz="0" w:space="0" w:color="auto"/>
            <w:left w:val="none" w:sz="0" w:space="0" w:color="auto"/>
            <w:bottom w:val="none" w:sz="0" w:space="0" w:color="auto"/>
            <w:right w:val="none" w:sz="0" w:space="0" w:color="auto"/>
          </w:divBdr>
        </w:div>
        <w:div w:id="2063139088">
          <w:marLeft w:val="0"/>
          <w:marRight w:val="0"/>
          <w:marTop w:val="0"/>
          <w:marBottom w:val="0"/>
          <w:divBdr>
            <w:top w:val="none" w:sz="0" w:space="0" w:color="auto"/>
            <w:left w:val="none" w:sz="0" w:space="0" w:color="auto"/>
            <w:bottom w:val="none" w:sz="0" w:space="0" w:color="auto"/>
            <w:right w:val="none" w:sz="0" w:space="0" w:color="auto"/>
          </w:divBdr>
        </w:div>
        <w:div w:id="2068533671">
          <w:marLeft w:val="0"/>
          <w:marRight w:val="0"/>
          <w:marTop w:val="0"/>
          <w:marBottom w:val="0"/>
          <w:divBdr>
            <w:top w:val="none" w:sz="0" w:space="0" w:color="auto"/>
            <w:left w:val="none" w:sz="0" w:space="0" w:color="auto"/>
            <w:bottom w:val="none" w:sz="0" w:space="0" w:color="auto"/>
            <w:right w:val="none" w:sz="0" w:space="0" w:color="auto"/>
          </w:divBdr>
        </w:div>
        <w:div w:id="2075737334">
          <w:marLeft w:val="0"/>
          <w:marRight w:val="0"/>
          <w:marTop w:val="0"/>
          <w:marBottom w:val="0"/>
          <w:divBdr>
            <w:top w:val="none" w:sz="0" w:space="0" w:color="auto"/>
            <w:left w:val="none" w:sz="0" w:space="0" w:color="auto"/>
            <w:bottom w:val="none" w:sz="0" w:space="0" w:color="auto"/>
            <w:right w:val="none" w:sz="0" w:space="0" w:color="auto"/>
          </w:divBdr>
        </w:div>
        <w:div w:id="2079013760">
          <w:marLeft w:val="0"/>
          <w:marRight w:val="0"/>
          <w:marTop w:val="0"/>
          <w:marBottom w:val="0"/>
          <w:divBdr>
            <w:top w:val="none" w:sz="0" w:space="0" w:color="auto"/>
            <w:left w:val="none" w:sz="0" w:space="0" w:color="auto"/>
            <w:bottom w:val="none" w:sz="0" w:space="0" w:color="auto"/>
            <w:right w:val="none" w:sz="0" w:space="0" w:color="auto"/>
          </w:divBdr>
        </w:div>
        <w:div w:id="2079135942">
          <w:marLeft w:val="0"/>
          <w:marRight w:val="0"/>
          <w:marTop w:val="0"/>
          <w:marBottom w:val="0"/>
          <w:divBdr>
            <w:top w:val="none" w:sz="0" w:space="0" w:color="auto"/>
            <w:left w:val="none" w:sz="0" w:space="0" w:color="auto"/>
            <w:bottom w:val="none" w:sz="0" w:space="0" w:color="auto"/>
            <w:right w:val="none" w:sz="0" w:space="0" w:color="auto"/>
          </w:divBdr>
        </w:div>
        <w:div w:id="2081248869">
          <w:marLeft w:val="0"/>
          <w:marRight w:val="0"/>
          <w:marTop w:val="0"/>
          <w:marBottom w:val="0"/>
          <w:divBdr>
            <w:top w:val="none" w:sz="0" w:space="0" w:color="auto"/>
            <w:left w:val="none" w:sz="0" w:space="0" w:color="auto"/>
            <w:bottom w:val="none" w:sz="0" w:space="0" w:color="auto"/>
            <w:right w:val="none" w:sz="0" w:space="0" w:color="auto"/>
          </w:divBdr>
        </w:div>
      </w:divsChild>
    </w:div>
    <w:div w:id="788085692">
      <w:bodyDiv w:val="1"/>
      <w:marLeft w:val="0"/>
      <w:marRight w:val="0"/>
      <w:marTop w:val="0"/>
      <w:marBottom w:val="0"/>
      <w:divBdr>
        <w:top w:val="none" w:sz="0" w:space="0" w:color="auto"/>
        <w:left w:val="none" w:sz="0" w:space="0" w:color="auto"/>
        <w:bottom w:val="none" w:sz="0" w:space="0" w:color="auto"/>
        <w:right w:val="none" w:sz="0" w:space="0" w:color="auto"/>
      </w:divBdr>
    </w:div>
    <w:div w:id="15551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A53C-18A7-4026-AE31-E03FEB08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2412</Words>
  <Characters>13991</Characters>
  <Application>Microsoft Office Word</Application>
  <DocSecurity>0</DocSecurity>
  <Lines>116</Lines>
  <Paragraphs>32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Kalmann</dc:creator>
  <cp:keywords/>
  <dc:description/>
  <cp:lastModifiedBy>Allar Korjas</cp:lastModifiedBy>
  <cp:revision>2</cp:revision>
  <cp:lastPrinted>2018-02-14T14:17:00Z</cp:lastPrinted>
  <dcterms:created xsi:type="dcterms:W3CDTF">2021-11-04T10:12:00Z</dcterms:created>
  <dcterms:modified xsi:type="dcterms:W3CDTF">2021-11-04T10:12:00Z</dcterms:modified>
</cp:coreProperties>
</file>