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56B60" w14:textId="28B53D16" w:rsidR="007A0C46" w:rsidRPr="00FB3CAD" w:rsidRDefault="007A0C46" w:rsidP="00FB3CAD">
      <w:pPr>
        <w:jc w:val="right"/>
      </w:pPr>
      <w:bookmarkStart w:id="0" w:name="_GoBack"/>
      <w:bookmarkEnd w:id="0"/>
      <w:r w:rsidRPr="00FB3CAD">
        <w:t>Seletuskirja</w:t>
      </w:r>
      <w:r w:rsidR="00FB3CAD">
        <w:t xml:space="preserve"> </w:t>
      </w:r>
      <w:r w:rsidRPr="00FB3CAD">
        <w:t>lisa</w:t>
      </w:r>
    </w:p>
    <w:p w14:paraId="70B51C3C" w14:textId="77777777" w:rsidR="007A0C46" w:rsidRDefault="007A0C46" w:rsidP="007A0C46">
      <w:pPr>
        <w:jc w:val="both"/>
        <w:rPr>
          <w:b/>
          <w:highlight w:val="yellow"/>
        </w:rPr>
      </w:pPr>
    </w:p>
    <w:p w14:paraId="65441D89" w14:textId="012E1014" w:rsidR="00FB3CAD" w:rsidRDefault="00FB3CAD" w:rsidP="00E02615">
      <w:pPr>
        <w:jc w:val="both"/>
        <w:rPr>
          <w:b/>
        </w:rPr>
      </w:pPr>
    </w:p>
    <w:p w14:paraId="5F2B73AE" w14:textId="1E56945D" w:rsidR="00FB3CAD" w:rsidRPr="004953F7" w:rsidRDefault="00FB3CAD" w:rsidP="00E02615">
      <w:pPr>
        <w:jc w:val="both"/>
        <w:rPr>
          <w:b/>
        </w:rPr>
      </w:pPr>
      <w:r w:rsidRPr="00FB3CAD">
        <w:rPr>
          <w:b/>
        </w:rPr>
        <w:t>Eesti Põllumajandus-Kaubanduskojalt kooskõl</w:t>
      </w:r>
      <w:r>
        <w:rPr>
          <w:b/>
        </w:rPr>
        <w:t xml:space="preserve">astuse käigus laekunud </w:t>
      </w:r>
      <w:r w:rsidR="00375BF3">
        <w:rPr>
          <w:b/>
        </w:rPr>
        <w:t xml:space="preserve">ettepanekud ja </w:t>
      </w:r>
      <w:r>
        <w:rPr>
          <w:b/>
        </w:rPr>
        <w:t xml:space="preserve">märkused </w:t>
      </w:r>
      <w:r w:rsidRPr="00FB3CAD">
        <w:rPr>
          <w:b/>
        </w:rPr>
        <w:t>maaeluministri määruse „Maaeluministri 9. juuni 2016. a määruse nr 38 „Tootjaorganisatsiooni ja tootjaorganisatsioonide liidu tunnustamine“ muutmine“ eelnõu kohta</w:t>
      </w:r>
      <w:r w:rsidRPr="00FB3CAD">
        <w:rPr>
          <w:b/>
        </w:rPr>
        <w:cr/>
      </w:r>
    </w:p>
    <w:p w14:paraId="4DF34FDE" w14:textId="77777777" w:rsidR="007A0C46" w:rsidRDefault="007A0C46" w:rsidP="007A0C46"/>
    <w:tbl>
      <w:tblPr>
        <w:tblW w:w="9435" w:type="dxa"/>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
        <w:gridCol w:w="5262"/>
        <w:gridCol w:w="3713"/>
      </w:tblGrid>
      <w:tr w:rsidR="00C700FF" w14:paraId="6F218FDC" w14:textId="77777777" w:rsidTr="00C700FF">
        <w:tc>
          <w:tcPr>
            <w:tcW w:w="460" w:type="dxa"/>
            <w:tcBorders>
              <w:top w:val="single" w:sz="4" w:space="0" w:color="00000A"/>
              <w:left w:val="single" w:sz="4" w:space="0" w:color="00000A"/>
              <w:bottom w:val="single" w:sz="4" w:space="0" w:color="00000A"/>
              <w:right w:val="single" w:sz="4" w:space="0" w:color="00000A"/>
            </w:tcBorders>
          </w:tcPr>
          <w:p w14:paraId="37131CA8" w14:textId="77777777" w:rsidR="00C700FF" w:rsidRDefault="00C700FF" w:rsidP="00012BA8">
            <w:pPr>
              <w:jc w:val="center"/>
              <w:rPr>
                <w:b/>
                <w:sz w:val="22"/>
                <w:szCs w:val="22"/>
              </w:rPr>
            </w:pPr>
          </w:p>
        </w:tc>
        <w:tc>
          <w:tcPr>
            <w:tcW w:w="5262" w:type="dxa"/>
            <w:tcBorders>
              <w:top w:val="single" w:sz="4" w:space="0" w:color="00000A"/>
              <w:left w:val="single" w:sz="4" w:space="0" w:color="00000A"/>
              <w:bottom w:val="single" w:sz="4" w:space="0" w:color="00000A"/>
              <w:right w:val="single" w:sz="4" w:space="0" w:color="00000A"/>
            </w:tcBorders>
            <w:hideMark/>
          </w:tcPr>
          <w:p w14:paraId="0A4BCF8B" w14:textId="7A866CA7" w:rsidR="00C700FF" w:rsidRPr="00375BF3" w:rsidRDefault="00375BF3" w:rsidP="00375BF3">
            <w:pPr>
              <w:jc w:val="center"/>
              <w:rPr>
                <w:b/>
                <w:color w:val="00000A"/>
              </w:rPr>
            </w:pPr>
            <w:r w:rsidRPr="00375BF3">
              <w:rPr>
                <w:b/>
              </w:rPr>
              <w:t>Ettepanek või m</w:t>
            </w:r>
            <w:r w:rsidR="00C700FF" w:rsidRPr="00375BF3">
              <w:rPr>
                <w:b/>
              </w:rPr>
              <w:t>ärkus</w:t>
            </w:r>
          </w:p>
        </w:tc>
        <w:tc>
          <w:tcPr>
            <w:tcW w:w="3713" w:type="dxa"/>
            <w:tcBorders>
              <w:top w:val="single" w:sz="4" w:space="0" w:color="00000A"/>
              <w:left w:val="single" w:sz="4" w:space="0" w:color="00000A"/>
              <w:bottom w:val="single" w:sz="4" w:space="0" w:color="00000A"/>
              <w:right w:val="single" w:sz="4" w:space="0" w:color="00000A"/>
            </w:tcBorders>
            <w:hideMark/>
          </w:tcPr>
          <w:p w14:paraId="1965BD72" w14:textId="12033DB4" w:rsidR="00C700FF" w:rsidRPr="00375BF3" w:rsidRDefault="00375BF3" w:rsidP="00012BA8">
            <w:pPr>
              <w:jc w:val="center"/>
              <w:rPr>
                <w:b/>
                <w:color w:val="00000A"/>
              </w:rPr>
            </w:pPr>
            <w:r w:rsidRPr="00375BF3">
              <w:rPr>
                <w:b/>
                <w:color w:val="00000A"/>
              </w:rPr>
              <w:t>Arvestamine/mittearvestamine</w:t>
            </w:r>
          </w:p>
        </w:tc>
      </w:tr>
      <w:tr w:rsidR="00C700FF" w:rsidRPr="00B75B61" w14:paraId="16F0A9CA" w14:textId="77777777" w:rsidTr="00C700FF">
        <w:trPr>
          <w:trHeight w:val="3606"/>
        </w:trPr>
        <w:tc>
          <w:tcPr>
            <w:tcW w:w="460" w:type="dxa"/>
            <w:tcBorders>
              <w:top w:val="single" w:sz="4" w:space="0" w:color="00000A"/>
              <w:left w:val="single" w:sz="4" w:space="0" w:color="00000A"/>
              <w:bottom w:val="single" w:sz="4" w:space="0" w:color="auto"/>
              <w:right w:val="single" w:sz="4" w:space="0" w:color="00000A"/>
            </w:tcBorders>
          </w:tcPr>
          <w:p w14:paraId="5800042B" w14:textId="53A5E510" w:rsidR="00C700FF" w:rsidRPr="00C700FF" w:rsidRDefault="00C700FF" w:rsidP="0027522F">
            <w:pPr>
              <w:pStyle w:val="NoSpacing"/>
              <w:spacing w:before="240" w:line="276" w:lineRule="auto"/>
              <w:jc w:val="both"/>
              <w:rPr>
                <w:rFonts w:ascii="Times New Roman" w:hAnsi="Times New Roman"/>
                <w:sz w:val="24"/>
                <w:szCs w:val="24"/>
                <w:lang w:eastAsia="et-EE"/>
              </w:rPr>
            </w:pPr>
            <w:r w:rsidRPr="00C700FF">
              <w:rPr>
                <w:rFonts w:ascii="Times New Roman" w:hAnsi="Times New Roman"/>
                <w:sz w:val="24"/>
                <w:szCs w:val="24"/>
                <w:lang w:eastAsia="et-EE"/>
              </w:rPr>
              <w:t>1.</w:t>
            </w:r>
          </w:p>
        </w:tc>
        <w:tc>
          <w:tcPr>
            <w:tcW w:w="5262" w:type="dxa"/>
            <w:tcBorders>
              <w:top w:val="single" w:sz="4" w:space="0" w:color="00000A"/>
              <w:left w:val="single" w:sz="4" w:space="0" w:color="00000A"/>
              <w:bottom w:val="single" w:sz="4" w:space="0" w:color="auto"/>
              <w:right w:val="single" w:sz="4" w:space="0" w:color="00000A"/>
            </w:tcBorders>
          </w:tcPr>
          <w:p w14:paraId="58FDA5FA" w14:textId="0ECFC42F" w:rsidR="00C700FF" w:rsidRPr="00375BF3" w:rsidRDefault="00C700FF" w:rsidP="00924127">
            <w:pPr>
              <w:pStyle w:val="NoSpacing"/>
              <w:jc w:val="both"/>
              <w:rPr>
                <w:rFonts w:ascii="Times New Roman" w:hAnsi="Times New Roman"/>
                <w:sz w:val="24"/>
                <w:szCs w:val="24"/>
                <w:lang w:eastAsia="et-EE"/>
              </w:rPr>
            </w:pPr>
            <w:r w:rsidRPr="00375BF3">
              <w:rPr>
                <w:rFonts w:ascii="Times New Roman" w:hAnsi="Times New Roman"/>
                <w:sz w:val="24"/>
                <w:szCs w:val="24"/>
                <w:lang w:eastAsia="et-EE"/>
              </w:rPr>
              <w:t xml:space="preserve">Sealiha sektorile sätestatud 7 000 000 </w:t>
            </w:r>
            <w:proofErr w:type="spellStart"/>
            <w:r w:rsidRPr="00375BF3">
              <w:rPr>
                <w:rFonts w:ascii="Times New Roman" w:hAnsi="Times New Roman"/>
                <w:sz w:val="24"/>
                <w:szCs w:val="24"/>
                <w:lang w:eastAsia="et-EE"/>
              </w:rPr>
              <w:t>eurone</w:t>
            </w:r>
            <w:proofErr w:type="spellEnd"/>
            <w:r w:rsidRPr="00375BF3">
              <w:rPr>
                <w:rFonts w:ascii="Times New Roman" w:hAnsi="Times New Roman"/>
                <w:sz w:val="24"/>
                <w:szCs w:val="24"/>
                <w:lang w:eastAsia="et-EE"/>
              </w:rPr>
              <w:t xml:space="preserve"> müügitulu miinimumväärtus ei kajasta sektori hetkeolukorda, ühistute arvu ega nende müügitulude suurust. Seakasvatussektoris on viimastel aastatel toimunud järsud hinnalangused, paljud ettevõtjad on </w:t>
            </w:r>
            <w:proofErr w:type="spellStart"/>
            <w:r w:rsidRPr="00375BF3">
              <w:rPr>
                <w:rFonts w:ascii="Times New Roman" w:hAnsi="Times New Roman"/>
                <w:sz w:val="24"/>
                <w:szCs w:val="24"/>
                <w:lang w:eastAsia="et-EE"/>
              </w:rPr>
              <w:t>SAKi</w:t>
            </w:r>
            <w:proofErr w:type="spellEnd"/>
            <w:r w:rsidRPr="00375BF3">
              <w:rPr>
                <w:rFonts w:ascii="Times New Roman" w:hAnsi="Times New Roman"/>
                <w:sz w:val="24"/>
                <w:szCs w:val="24"/>
                <w:lang w:eastAsia="et-EE"/>
              </w:rPr>
              <w:t xml:space="preserve"> tõttu olnud sunnitud oma tootmise lõpetama ning uusi seakasvatusega alustajaid ei ole sektorisse juurde tulnud. Suur osa sektorist kuulub suurtele kontsernidele, kellel on välja kujundatud tarneahel lõpptarnijani ning huvi </w:t>
            </w:r>
            <w:proofErr w:type="spellStart"/>
            <w:r w:rsidRPr="00375BF3">
              <w:rPr>
                <w:rFonts w:ascii="Times New Roman" w:hAnsi="Times New Roman"/>
                <w:sz w:val="24"/>
                <w:szCs w:val="24"/>
                <w:lang w:eastAsia="et-EE"/>
              </w:rPr>
              <w:t>ühistulise</w:t>
            </w:r>
            <w:proofErr w:type="spellEnd"/>
            <w:r w:rsidRPr="00375BF3">
              <w:rPr>
                <w:rFonts w:ascii="Times New Roman" w:hAnsi="Times New Roman"/>
                <w:sz w:val="24"/>
                <w:szCs w:val="24"/>
                <w:lang w:eastAsia="et-EE"/>
              </w:rPr>
              <w:t xml:space="preserve"> tegevuse vastu puudub. Vajadus läbi </w:t>
            </w:r>
            <w:proofErr w:type="spellStart"/>
            <w:r w:rsidRPr="00375BF3">
              <w:rPr>
                <w:rFonts w:ascii="Times New Roman" w:hAnsi="Times New Roman"/>
                <w:sz w:val="24"/>
                <w:szCs w:val="24"/>
                <w:lang w:eastAsia="et-EE"/>
              </w:rPr>
              <w:t>ühistulise</w:t>
            </w:r>
            <w:proofErr w:type="spellEnd"/>
            <w:r w:rsidRPr="00375BF3">
              <w:rPr>
                <w:rFonts w:ascii="Times New Roman" w:hAnsi="Times New Roman"/>
                <w:sz w:val="24"/>
                <w:szCs w:val="24"/>
                <w:lang w:eastAsia="et-EE"/>
              </w:rPr>
              <w:t xml:space="preserve"> tegevuse oma turupositsiooni tugevdada on neil </w:t>
            </w:r>
            <w:proofErr w:type="spellStart"/>
            <w:r w:rsidRPr="00375BF3">
              <w:rPr>
                <w:rFonts w:ascii="Times New Roman" w:hAnsi="Times New Roman"/>
                <w:sz w:val="24"/>
                <w:szCs w:val="24"/>
                <w:lang w:eastAsia="et-EE"/>
              </w:rPr>
              <w:t>seaskasvatajatel</w:t>
            </w:r>
            <w:proofErr w:type="spellEnd"/>
            <w:r w:rsidRPr="00375BF3">
              <w:rPr>
                <w:rFonts w:ascii="Times New Roman" w:hAnsi="Times New Roman"/>
                <w:sz w:val="24"/>
                <w:szCs w:val="24"/>
                <w:lang w:eastAsia="et-EE"/>
              </w:rPr>
              <w:t xml:space="preserve">, kellel puudub oma tapavõimsus ning välja kujunenud müügikanalid. Eelnevast lähtuvalt teeme ettepaneku sätestada seakasvatussektoris müügitulu miinimumväärtus 3 500 000 eurot ning minimaalne liikmete arv 7. </w:t>
            </w:r>
          </w:p>
          <w:p w14:paraId="15D53D18" w14:textId="77777777" w:rsidR="00C700FF" w:rsidRPr="00BF7D9B" w:rsidRDefault="00C700FF" w:rsidP="00924127">
            <w:pPr>
              <w:pStyle w:val="ListParagraph"/>
              <w:adjustRightInd w:val="0"/>
              <w:ind w:left="0"/>
              <w:contextualSpacing w:val="0"/>
              <w:jc w:val="both"/>
              <w:rPr>
                <w:rFonts w:eastAsia="MS Mincho"/>
                <w:color w:val="00000A"/>
              </w:rPr>
            </w:pPr>
          </w:p>
        </w:tc>
        <w:tc>
          <w:tcPr>
            <w:tcW w:w="3713" w:type="dxa"/>
            <w:tcBorders>
              <w:top w:val="single" w:sz="4" w:space="0" w:color="00000A"/>
              <w:left w:val="single" w:sz="4" w:space="0" w:color="00000A"/>
              <w:bottom w:val="single" w:sz="4" w:space="0" w:color="auto"/>
              <w:right w:val="single" w:sz="4" w:space="0" w:color="00000A"/>
            </w:tcBorders>
          </w:tcPr>
          <w:p w14:paraId="72811C87" w14:textId="76FA1CEF" w:rsidR="00C700FF" w:rsidRPr="00375BF3" w:rsidRDefault="00C700FF" w:rsidP="009A4BD9">
            <w:pPr>
              <w:jc w:val="both"/>
            </w:pPr>
            <w:r w:rsidRPr="00375BF3">
              <w:t>Mitte arvestatud.</w:t>
            </w:r>
          </w:p>
          <w:p w14:paraId="74927DF2" w14:textId="77777777" w:rsidR="00C700FF" w:rsidRPr="00375BF3" w:rsidRDefault="00C700FF">
            <w:pPr>
              <w:jc w:val="both"/>
            </w:pPr>
          </w:p>
          <w:p w14:paraId="5E306BF7" w14:textId="640CFF2B" w:rsidR="00C700FF" w:rsidRPr="00375BF3" w:rsidRDefault="00C700FF">
            <w:pPr>
              <w:jc w:val="both"/>
            </w:pPr>
            <w:r w:rsidRPr="00375BF3">
              <w:t xml:space="preserve">Sarnaselt teistele sektoritele on sealihasektori müügitulu miinimumväärtuse leidmisel võetud arvesse 10% aastate 2017−2019 keskmisest kogutoodangu väärtusest. Liikmete arvu osas pole kavas erinevate sektorite puhul erisusi teha. </w:t>
            </w:r>
          </w:p>
          <w:p w14:paraId="02AAC591" w14:textId="3A7B7327" w:rsidR="00C700FF" w:rsidRPr="00924127" w:rsidRDefault="00C700FF">
            <w:pPr>
              <w:jc w:val="both"/>
            </w:pPr>
            <w:r w:rsidRPr="00375BF3">
              <w:t xml:space="preserve">2020 aasta lõpu seisuga oli PRIA loomade registris 316 696 siga, kellest 39% kuulub kolmele ettevõttele, aastakäibega (2019) üle 10 mln euro. Eelnevast tulenevalt </w:t>
            </w:r>
            <w:r w:rsidR="003321E0" w:rsidRPr="00375BF3">
              <w:t xml:space="preserve">peab </w:t>
            </w:r>
            <w:proofErr w:type="spellStart"/>
            <w:r w:rsidRPr="00375BF3">
              <w:t>ühistulise</w:t>
            </w:r>
            <w:proofErr w:type="spellEnd"/>
            <w:r w:rsidRPr="00375BF3">
              <w:t xml:space="preserve"> tegevuse </w:t>
            </w:r>
            <w:proofErr w:type="spellStart"/>
            <w:r w:rsidRPr="00375BF3">
              <w:t>lävendi</w:t>
            </w:r>
            <w:proofErr w:type="spellEnd"/>
            <w:r w:rsidRPr="00375BF3">
              <w:t xml:space="preserve"> seadma piisavalt kõrgele, et </w:t>
            </w:r>
            <w:r w:rsidR="00E02615" w:rsidRPr="00924127">
              <w:t xml:space="preserve">tunnustata ühistuid, kes on tugevad ja suudavad parandada tootjate positsiooni tarneahelas. </w:t>
            </w:r>
          </w:p>
          <w:p w14:paraId="6C69EF30" w14:textId="4CC3C1BB" w:rsidR="00C700FF" w:rsidRPr="009A4BD9" w:rsidRDefault="00C700FF" w:rsidP="009A4BD9">
            <w:pPr>
              <w:jc w:val="both"/>
            </w:pPr>
            <w:r w:rsidRPr="009A4BD9">
              <w:t xml:space="preserve"> </w:t>
            </w:r>
          </w:p>
          <w:p w14:paraId="370A0864" w14:textId="77777777" w:rsidR="00C700FF" w:rsidRPr="009A4BD9" w:rsidRDefault="00C700FF" w:rsidP="009A4BD9">
            <w:pPr>
              <w:jc w:val="both"/>
            </w:pPr>
          </w:p>
        </w:tc>
      </w:tr>
      <w:tr w:rsidR="00C700FF" w:rsidRPr="00B75B61" w14:paraId="1824765D" w14:textId="77777777" w:rsidTr="00BF7D9B">
        <w:trPr>
          <w:trHeight w:val="2259"/>
        </w:trPr>
        <w:tc>
          <w:tcPr>
            <w:tcW w:w="460" w:type="dxa"/>
            <w:tcBorders>
              <w:top w:val="single" w:sz="4" w:space="0" w:color="auto"/>
              <w:left w:val="single" w:sz="4" w:space="0" w:color="auto"/>
              <w:bottom w:val="single" w:sz="4" w:space="0" w:color="auto"/>
              <w:right w:val="single" w:sz="4" w:space="0" w:color="00000A"/>
            </w:tcBorders>
          </w:tcPr>
          <w:p w14:paraId="6802C377" w14:textId="7F3C743E" w:rsidR="00C700FF" w:rsidRPr="00BF7D9B" w:rsidRDefault="00C700FF" w:rsidP="00BE2C55">
            <w:pPr>
              <w:adjustRightInd w:val="0"/>
              <w:jc w:val="both"/>
              <w:rPr>
                <w:rFonts w:eastAsiaTheme="minorHAnsi"/>
                <w:color w:val="000000"/>
              </w:rPr>
            </w:pPr>
            <w:r w:rsidRPr="00BF7D9B">
              <w:rPr>
                <w:rFonts w:eastAsiaTheme="minorHAnsi"/>
                <w:color w:val="000000"/>
              </w:rPr>
              <w:t xml:space="preserve">2. </w:t>
            </w:r>
          </w:p>
        </w:tc>
        <w:tc>
          <w:tcPr>
            <w:tcW w:w="5262" w:type="dxa"/>
            <w:tcBorders>
              <w:top w:val="single" w:sz="4" w:space="0" w:color="auto"/>
              <w:left w:val="single" w:sz="4" w:space="0" w:color="auto"/>
              <w:bottom w:val="single" w:sz="4" w:space="0" w:color="auto"/>
              <w:right w:val="single" w:sz="4" w:space="0" w:color="00000A"/>
            </w:tcBorders>
          </w:tcPr>
          <w:p w14:paraId="23841961" w14:textId="2CFD7C88" w:rsidR="00C700FF" w:rsidRPr="00375BF3" w:rsidRDefault="00C700FF" w:rsidP="00924127">
            <w:pPr>
              <w:adjustRightInd w:val="0"/>
              <w:jc w:val="both"/>
              <w:rPr>
                <w:rFonts w:eastAsiaTheme="minorHAnsi"/>
                <w:color w:val="000000"/>
              </w:rPr>
            </w:pPr>
            <w:r w:rsidRPr="00375BF3">
              <w:rPr>
                <w:rFonts w:eastAsiaTheme="minorHAnsi"/>
                <w:color w:val="000000"/>
              </w:rPr>
              <w:t xml:space="preserve">Veiseliha sektorile sätestatud 5 000 000 </w:t>
            </w:r>
            <w:proofErr w:type="spellStart"/>
            <w:r w:rsidRPr="00375BF3">
              <w:rPr>
                <w:rFonts w:eastAsiaTheme="minorHAnsi"/>
                <w:color w:val="000000"/>
              </w:rPr>
              <w:t>eurone</w:t>
            </w:r>
            <w:proofErr w:type="spellEnd"/>
            <w:r w:rsidRPr="00375BF3">
              <w:rPr>
                <w:rFonts w:eastAsiaTheme="minorHAnsi"/>
                <w:color w:val="000000"/>
              </w:rPr>
              <w:t xml:space="preserve"> müügitulu miinimumväärtus ei arvesta piirkondlikke eripärasid ega tootmisviise. Näiteks piirab sätestatud müügitulu miinimumväärtus mahetootjate ning saartel asuvate lihaveisekasvatajate tulundusühistute tootjaorganisatsioonina tunnustamist ning seeläbi ka juurdepääsu mitmetele tulevase perioodi toetusmeetmetele. EPKK teeb ettepaneku sätestada veiselihasektoris müügitulu miinimumväärtus 200 000 eurot.</w:t>
            </w:r>
          </w:p>
          <w:p w14:paraId="1DCE534A" w14:textId="77777777" w:rsidR="00C700FF" w:rsidRPr="00BF7D9B" w:rsidRDefault="00C700FF" w:rsidP="00924127">
            <w:pPr>
              <w:jc w:val="both"/>
              <w:rPr>
                <w:rFonts w:eastAsiaTheme="minorHAnsi"/>
                <w:color w:val="000000"/>
              </w:rPr>
            </w:pPr>
          </w:p>
        </w:tc>
        <w:tc>
          <w:tcPr>
            <w:tcW w:w="3713" w:type="dxa"/>
            <w:tcBorders>
              <w:top w:val="single" w:sz="4" w:space="0" w:color="auto"/>
              <w:left w:val="single" w:sz="4" w:space="0" w:color="00000A"/>
              <w:bottom w:val="single" w:sz="4" w:space="0" w:color="auto"/>
              <w:right w:val="single" w:sz="4" w:space="0" w:color="00000A"/>
            </w:tcBorders>
          </w:tcPr>
          <w:p w14:paraId="0C8EAD11" w14:textId="2162DFC2" w:rsidR="009A4BD9" w:rsidRPr="009A4BD9" w:rsidRDefault="00C700FF" w:rsidP="009A4BD9">
            <w:pPr>
              <w:jc w:val="both"/>
            </w:pPr>
            <w:r w:rsidRPr="00375BF3">
              <w:t xml:space="preserve">Arvestatud </w:t>
            </w:r>
            <w:r w:rsidRPr="009A4BD9">
              <w:t xml:space="preserve">osaliselt. </w:t>
            </w:r>
          </w:p>
          <w:p w14:paraId="5D80C943" w14:textId="77777777" w:rsidR="00C700FF" w:rsidRPr="009A4BD9" w:rsidRDefault="00C700FF" w:rsidP="009A4BD9">
            <w:pPr>
              <w:jc w:val="both"/>
            </w:pPr>
          </w:p>
          <w:p w14:paraId="4E23606F" w14:textId="3BE2A5E8" w:rsidR="00C700FF" w:rsidRPr="00375BF3" w:rsidRDefault="00C700FF" w:rsidP="009A4BD9">
            <w:pPr>
              <w:jc w:val="both"/>
            </w:pPr>
            <w:proofErr w:type="spellStart"/>
            <w:r w:rsidRPr="00375BF3">
              <w:t>Ühistulise</w:t>
            </w:r>
            <w:proofErr w:type="spellEnd"/>
            <w:r w:rsidRPr="00375BF3">
              <w:t xml:space="preserve"> tegevuse puhul ei ole seatud piirkondlikke piire tootjate ühinemisel, kriteeriume seades oleme eeldanud mandri</w:t>
            </w:r>
            <w:r w:rsidR="000C7EC2" w:rsidRPr="00375BF3">
              <w:t>l</w:t>
            </w:r>
            <w:r w:rsidRPr="00375BF3">
              <w:t xml:space="preserve"> ja saarte</w:t>
            </w:r>
            <w:r w:rsidR="000C7EC2" w:rsidRPr="00375BF3">
              <w:t>l tegutsevate põllumajandustootjate</w:t>
            </w:r>
            <w:r w:rsidRPr="00375BF3">
              <w:t xml:space="preserve"> koostööd. Lihaveisesektor on keerulises majanduslikus  olukorras ja toetustest enim sõltuv sektor – üle 40% sissetulekutest moodustavad toetused. </w:t>
            </w:r>
          </w:p>
          <w:p w14:paraId="3E3750D9" w14:textId="692EE63F" w:rsidR="00C700FF" w:rsidRPr="00BF7D9B" w:rsidRDefault="00C700FF">
            <w:pPr>
              <w:jc w:val="both"/>
            </w:pPr>
            <w:r w:rsidRPr="00375BF3">
              <w:t xml:space="preserve">Võttes arvesse sektori väiksust ja killustatust ning senist ühistegevuse </w:t>
            </w:r>
            <w:r w:rsidRPr="00375BF3">
              <w:lastRenderedPageBreak/>
              <w:t xml:space="preserve">puudumist on põhjendatud madalama miinimumtasemega alustamine </w:t>
            </w:r>
            <w:proofErr w:type="spellStart"/>
            <w:r w:rsidRPr="00375BF3">
              <w:t>ühistulise</w:t>
            </w:r>
            <w:proofErr w:type="spellEnd"/>
            <w:r w:rsidRPr="00375BF3">
              <w:t xml:space="preserve"> tegevuse turgutamiseks. Eelnõu punktis </w:t>
            </w:r>
            <w:r w:rsidR="00015E1F">
              <w:t>3</w:t>
            </w:r>
            <w:r w:rsidRPr="00375BF3">
              <w:t xml:space="preserve"> asendatakse veiseliha turustatud põllumajandustoote väärtus varasema 5 000 000 asemel 500 000 euroga</w:t>
            </w:r>
            <w:r w:rsidRPr="009A4BD9">
              <w:t xml:space="preserve">. </w:t>
            </w:r>
          </w:p>
          <w:p w14:paraId="6B257C75" w14:textId="50B070B1" w:rsidR="00375BF3" w:rsidRPr="00924127" w:rsidRDefault="00375BF3">
            <w:pPr>
              <w:jc w:val="both"/>
            </w:pPr>
          </w:p>
        </w:tc>
      </w:tr>
      <w:tr w:rsidR="00C700FF" w:rsidRPr="00B75B61" w14:paraId="2CB13535" w14:textId="77777777" w:rsidTr="00C700FF">
        <w:trPr>
          <w:trHeight w:val="2735"/>
        </w:trPr>
        <w:tc>
          <w:tcPr>
            <w:tcW w:w="460" w:type="dxa"/>
            <w:tcBorders>
              <w:top w:val="single" w:sz="4" w:space="0" w:color="auto"/>
              <w:left w:val="single" w:sz="4" w:space="0" w:color="auto"/>
              <w:bottom w:val="single" w:sz="4" w:space="0" w:color="auto"/>
              <w:right w:val="single" w:sz="4" w:space="0" w:color="00000A"/>
            </w:tcBorders>
          </w:tcPr>
          <w:p w14:paraId="3650DB31" w14:textId="39714281" w:rsidR="00C700FF" w:rsidRPr="00924127" w:rsidRDefault="000C7EC2" w:rsidP="00BF7D9B">
            <w:r w:rsidRPr="00924127">
              <w:lastRenderedPageBreak/>
              <w:t>3.</w:t>
            </w:r>
          </w:p>
        </w:tc>
        <w:tc>
          <w:tcPr>
            <w:tcW w:w="5262" w:type="dxa"/>
            <w:tcBorders>
              <w:top w:val="single" w:sz="4" w:space="0" w:color="auto"/>
              <w:left w:val="single" w:sz="4" w:space="0" w:color="auto"/>
              <w:bottom w:val="single" w:sz="4" w:space="0" w:color="auto"/>
              <w:right w:val="single" w:sz="4" w:space="0" w:color="00000A"/>
            </w:tcBorders>
          </w:tcPr>
          <w:p w14:paraId="49DD89F4" w14:textId="158433B4" w:rsidR="00C700FF" w:rsidRPr="00BF7D9B" w:rsidRDefault="00924127" w:rsidP="00BF7D9B">
            <w:pPr>
              <w:jc w:val="both"/>
              <w:rPr>
                <w:bCs/>
                <w:lang w:eastAsia="et-EE"/>
              </w:rPr>
            </w:pPr>
            <w:r>
              <w:rPr>
                <w:bCs/>
                <w:lang w:eastAsia="et-EE"/>
              </w:rPr>
              <w:t>Määruse §</w:t>
            </w:r>
            <w:r w:rsidR="00C700FF" w:rsidRPr="00375BF3">
              <w:rPr>
                <w:bCs/>
                <w:lang w:eastAsia="et-EE"/>
              </w:rPr>
              <w:t xml:space="preserve"> 4 lõike 2</w:t>
            </w:r>
            <w:r w:rsidR="000C7EC2" w:rsidRPr="00375BF3">
              <w:rPr>
                <w:lang w:eastAsia="et-EE"/>
              </w:rPr>
              <w:t xml:space="preserve"> </w:t>
            </w:r>
            <w:r w:rsidR="00C700FF" w:rsidRPr="00375BF3">
              <w:rPr>
                <w:lang w:eastAsia="et-EE"/>
              </w:rPr>
              <w:t xml:space="preserve">kohaselt loetakse tootjaorganisatsioonina tunnustamist taotlevale tulundusühistule muuhulgas ka kohutuse esitada </w:t>
            </w:r>
            <w:proofErr w:type="spellStart"/>
            <w:r w:rsidR="00C700FF" w:rsidRPr="00375BF3">
              <w:rPr>
                <w:lang w:eastAsia="et-EE"/>
              </w:rPr>
              <w:t>PRIAle</w:t>
            </w:r>
            <w:proofErr w:type="spellEnd"/>
            <w:r w:rsidR="00C700FF" w:rsidRPr="00375BF3">
              <w:rPr>
                <w:lang w:eastAsia="et-EE"/>
              </w:rPr>
              <w:t xml:space="preserve"> muu põllumajandustoote tootmise ja pakendamisega seotud tegevuse, kaasa arva</w:t>
            </w:r>
            <w:r w:rsidR="00C700FF" w:rsidRPr="00924127">
              <w:rPr>
                <w:lang w:eastAsia="et-EE"/>
              </w:rPr>
              <w:t>tud töötlemise lühikokkuvõtte ja käibe; tulundusühistu osutatavate teenuste loetelu ja käibe; tulundusühistu põllumajandusväliste tegevuste loetelu ja käibe ning tulundusühistu liikmete otsemüüdud toodete väärtuse eurodes ja koguse tonnides juhul, kui tulundusühistu lubab enda liikmetel müüa tooteid otse tarbijale. Kuna määruse muudatus sätestab lisaks ka tunnustamise nõuetele vastavuse kont</w:t>
            </w:r>
            <w:r w:rsidR="00384871">
              <w:rPr>
                <w:lang w:eastAsia="et-EE"/>
              </w:rPr>
              <w:t>r</w:t>
            </w:r>
            <w:r w:rsidR="00C700FF" w:rsidRPr="00924127">
              <w:rPr>
                <w:lang w:eastAsia="et-EE"/>
              </w:rPr>
              <w:t xml:space="preserve">ollimise kord aastas, tekitab iga-aastaselt nende andmete küsimine liigset bürokraatiat ning vähendab oluliselt nende tulundusühistute huvi ennast tootjaorganisatsioonina tunnustada, kellel on palju liikmeid, kuna sellist infot igal aastal tähtajaks iga liikme kohta koguda on äärmiselt keeruline. Lisaks loob see ohu, et just nimetatud põhjusel, ei kaasa tulundusühistu </w:t>
            </w:r>
            <w:r w:rsidR="00C700FF" w:rsidRPr="009A4BD9">
              <w:rPr>
                <w:lang w:eastAsia="et-EE"/>
              </w:rPr>
              <w:t xml:space="preserve">uusi liikmeid. </w:t>
            </w:r>
            <w:r w:rsidR="00C700FF" w:rsidRPr="009A4BD9">
              <w:rPr>
                <w:bCs/>
                <w:lang w:eastAsia="et-EE"/>
              </w:rPr>
              <w:t>EPKK teeb ettepaneku kriitiliselt üle vaadata nende andmete küsimise vajalikkus.</w:t>
            </w:r>
            <w:r w:rsidR="00C700FF" w:rsidRPr="00BF7D9B">
              <w:rPr>
                <w:bCs/>
                <w:lang w:eastAsia="et-EE"/>
              </w:rPr>
              <w:t xml:space="preserve"> </w:t>
            </w:r>
          </w:p>
          <w:p w14:paraId="53022A02" w14:textId="77777777" w:rsidR="00C700FF" w:rsidRPr="00BF7D9B" w:rsidRDefault="00C700FF" w:rsidP="00BF7D9B">
            <w:pPr>
              <w:adjustRightInd w:val="0"/>
              <w:jc w:val="both"/>
              <w:rPr>
                <w:rFonts w:eastAsiaTheme="minorHAnsi"/>
                <w:color w:val="000000"/>
              </w:rPr>
            </w:pPr>
          </w:p>
          <w:p w14:paraId="15127CCD" w14:textId="77777777" w:rsidR="00C700FF" w:rsidRPr="00BF7D9B" w:rsidRDefault="00C700FF" w:rsidP="00924127">
            <w:pPr>
              <w:jc w:val="both"/>
              <w:rPr>
                <w:rFonts w:eastAsiaTheme="minorHAnsi"/>
                <w:color w:val="000000"/>
              </w:rPr>
            </w:pPr>
          </w:p>
        </w:tc>
        <w:tc>
          <w:tcPr>
            <w:tcW w:w="3713" w:type="dxa"/>
            <w:tcBorders>
              <w:top w:val="single" w:sz="4" w:space="0" w:color="auto"/>
              <w:left w:val="single" w:sz="4" w:space="0" w:color="00000A"/>
              <w:bottom w:val="single" w:sz="4" w:space="0" w:color="auto"/>
              <w:right w:val="single" w:sz="4" w:space="0" w:color="00000A"/>
            </w:tcBorders>
          </w:tcPr>
          <w:p w14:paraId="401B3AE0" w14:textId="7E152CC5" w:rsidR="00C700FF" w:rsidRPr="00BF7D9B" w:rsidRDefault="00C700FF" w:rsidP="009A4BD9">
            <w:pPr>
              <w:jc w:val="both"/>
            </w:pPr>
            <w:r w:rsidRPr="00BF7D9B">
              <w:t xml:space="preserve">Arvestatud. </w:t>
            </w:r>
          </w:p>
          <w:p w14:paraId="1DDA5B1C" w14:textId="77777777" w:rsidR="000C7EC2" w:rsidRPr="00BF7D9B" w:rsidRDefault="000C7EC2">
            <w:pPr>
              <w:jc w:val="both"/>
            </w:pPr>
          </w:p>
          <w:p w14:paraId="173A252F" w14:textId="29B9E12D" w:rsidR="00C700FF" w:rsidRPr="00BF7D9B" w:rsidRDefault="000C7EC2">
            <w:pPr>
              <w:jc w:val="both"/>
            </w:pPr>
            <w:r w:rsidRPr="00BF7D9B">
              <w:t>Eelnõud on täiendatud ja edaspidi nimetatud andmeid esitama ei pea.</w:t>
            </w:r>
          </w:p>
        </w:tc>
      </w:tr>
    </w:tbl>
    <w:p w14:paraId="4D858398" w14:textId="77777777" w:rsidR="006F2686" w:rsidRDefault="00BF7D9B"/>
    <w:sectPr w:rsidR="006F268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5450"/>
    <w:multiLevelType w:val="hybridMultilevel"/>
    <w:tmpl w:val="5F246274"/>
    <w:lvl w:ilvl="0" w:tplc="87CC439C">
      <w:start w:val="1"/>
      <w:numFmt w:val="decimal"/>
      <w:lvlText w:val="%1."/>
      <w:lvlJc w:val="left"/>
      <w:pPr>
        <w:ind w:left="720" w:hanging="360"/>
      </w:pPr>
      <w:rPr>
        <w:rFonts w:ascii="Times New Roman" w:eastAsia="Calibr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361F7E"/>
    <w:multiLevelType w:val="hybridMultilevel"/>
    <w:tmpl w:val="497450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A0F5D66"/>
    <w:multiLevelType w:val="hybridMultilevel"/>
    <w:tmpl w:val="D7DCA9A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5C7E1D3B"/>
    <w:multiLevelType w:val="hybridMultilevel"/>
    <w:tmpl w:val="5A18D69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FD824D5"/>
    <w:multiLevelType w:val="hybridMultilevel"/>
    <w:tmpl w:val="F4E0E8B2"/>
    <w:lvl w:ilvl="0" w:tplc="793A435E">
      <w:start w:val="1"/>
      <w:numFmt w:val="decimal"/>
      <w:lvlText w:val="%1."/>
      <w:lvlJc w:val="left"/>
      <w:pPr>
        <w:ind w:left="720" w:hanging="360"/>
      </w:pPr>
      <w:rPr>
        <w:rFonts w:ascii="Times New Roman" w:eastAsia="Calibr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62C786C"/>
    <w:multiLevelType w:val="hybridMultilevel"/>
    <w:tmpl w:val="C8CE13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CE311A5"/>
    <w:multiLevelType w:val="hybridMultilevel"/>
    <w:tmpl w:val="DDC4424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7A816CE4"/>
    <w:multiLevelType w:val="hybridMultilevel"/>
    <w:tmpl w:val="34FAD5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E78213F"/>
    <w:multiLevelType w:val="hybridMultilevel"/>
    <w:tmpl w:val="9EB4EE6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8"/>
  </w:num>
  <w:num w:numId="5">
    <w:abstractNumId w:val="7"/>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46"/>
    <w:rsid w:val="00015E1F"/>
    <w:rsid w:val="000449E5"/>
    <w:rsid w:val="000B75D9"/>
    <w:rsid w:val="000C4610"/>
    <w:rsid w:val="000C7EC2"/>
    <w:rsid w:val="000F47D9"/>
    <w:rsid w:val="00103DF6"/>
    <w:rsid w:val="00140EA9"/>
    <w:rsid w:val="00161CA7"/>
    <w:rsid w:val="00167D3D"/>
    <w:rsid w:val="00173F3E"/>
    <w:rsid w:val="001A1524"/>
    <w:rsid w:val="001E1F32"/>
    <w:rsid w:val="001E2A8C"/>
    <w:rsid w:val="001E75C4"/>
    <w:rsid w:val="001F1BB3"/>
    <w:rsid w:val="00247495"/>
    <w:rsid w:val="00260890"/>
    <w:rsid w:val="0027522F"/>
    <w:rsid w:val="002C2460"/>
    <w:rsid w:val="003321E0"/>
    <w:rsid w:val="00352F36"/>
    <w:rsid w:val="00375BF3"/>
    <w:rsid w:val="00384871"/>
    <w:rsid w:val="003C4C91"/>
    <w:rsid w:val="004076B4"/>
    <w:rsid w:val="00415946"/>
    <w:rsid w:val="0042429A"/>
    <w:rsid w:val="00491C27"/>
    <w:rsid w:val="004C40FD"/>
    <w:rsid w:val="004D117C"/>
    <w:rsid w:val="004F2D2C"/>
    <w:rsid w:val="004F6717"/>
    <w:rsid w:val="0053281B"/>
    <w:rsid w:val="00593BC5"/>
    <w:rsid w:val="00610F96"/>
    <w:rsid w:val="00612F00"/>
    <w:rsid w:val="006602B8"/>
    <w:rsid w:val="00685912"/>
    <w:rsid w:val="00697BDD"/>
    <w:rsid w:val="006B45B5"/>
    <w:rsid w:val="006F6305"/>
    <w:rsid w:val="007418D4"/>
    <w:rsid w:val="00750B19"/>
    <w:rsid w:val="00750CF0"/>
    <w:rsid w:val="0079295C"/>
    <w:rsid w:val="007A06D3"/>
    <w:rsid w:val="007A0C46"/>
    <w:rsid w:val="007A49E1"/>
    <w:rsid w:val="00874B1F"/>
    <w:rsid w:val="008A09B4"/>
    <w:rsid w:val="0091349F"/>
    <w:rsid w:val="0091773B"/>
    <w:rsid w:val="00924127"/>
    <w:rsid w:val="009274B3"/>
    <w:rsid w:val="009A4BD9"/>
    <w:rsid w:val="009D497E"/>
    <w:rsid w:val="009E2454"/>
    <w:rsid w:val="009F7BF0"/>
    <w:rsid w:val="00A14FE3"/>
    <w:rsid w:val="00A36A13"/>
    <w:rsid w:val="00A60E06"/>
    <w:rsid w:val="00AE3110"/>
    <w:rsid w:val="00B0245D"/>
    <w:rsid w:val="00B025D5"/>
    <w:rsid w:val="00B1170E"/>
    <w:rsid w:val="00B37E25"/>
    <w:rsid w:val="00B4210A"/>
    <w:rsid w:val="00B441B8"/>
    <w:rsid w:val="00B669F2"/>
    <w:rsid w:val="00B93504"/>
    <w:rsid w:val="00BA3504"/>
    <w:rsid w:val="00BE2C55"/>
    <w:rsid w:val="00BF7D9B"/>
    <w:rsid w:val="00C20993"/>
    <w:rsid w:val="00C21F83"/>
    <w:rsid w:val="00C53C86"/>
    <w:rsid w:val="00C700FF"/>
    <w:rsid w:val="00C73FB0"/>
    <w:rsid w:val="00CE610A"/>
    <w:rsid w:val="00D043E2"/>
    <w:rsid w:val="00D27FA5"/>
    <w:rsid w:val="00D36B59"/>
    <w:rsid w:val="00D5107A"/>
    <w:rsid w:val="00D84F08"/>
    <w:rsid w:val="00D90EEC"/>
    <w:rsid w:val="00DD11E0"/>
    <w:rsid w:val="00E02615"/>
    <w:rsid w:val="00E2075A"/>
    <w:rsid w:val="00E65037"/>
    <w:rsid w:val="00EB625E"/>
    <w:rsid w:val="00EC3704"/>
    <w:rsid w:val="00ED4980"/>
    <w:rsid w:val="00ED5D3A"/>
    <w:rsid w:val="00F04F21"/>
    <w:rsid w:val="00F60139"/>
    <w:rsid w:val="00FB3CAD"/>
    <w:rsid w:val="00FC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B807"/>
  <w15:chartTrackingRefBased/>
  <w15:docId w15:val="{348A6D6E-C7F1-413A-8135-5A76D2C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C46"/>
    <w:pPr>
      <w:autoSpaceDE w:val="0"/>
      <w:autoSpaceDN w:val="0"/>
      <w:spacing w:after="0" w:line="240" w:lineRule="auto"/>
    </w:pPr>
    <w:rPr>
      <w:rFonts w:ascii="Times New Roman" w:eastAsia="Times New Roman" w:hAnsi="Times New Roman" w:cs="Times New Roman"/>
      <w:sz w:val="24"/>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95C"/>
    <w:pPr>
      <w:autoSpaceDE w:val="0"/>
      <w:autoSpaceDN w:val="0"/>
      <w:adjustRightInd w:val="0"/>
      <w:spacing w:after="0" w:line="240" w:lineRule="auto"/>
    </w:pPr>
    <w:rPr>
      <w:rFonts w:ascii="Times New Roman" w:hAnsi="Times New Roman" w:cs="Times New Roman"/>
      <w:color w:val="000000"/>
      <w:sz w:val="24"/>
      <w:szCs w:val="24"/>
      <w:lang w:val="et-EE"/>
    </w:rPr>
  </w:style>
  <w:style w:type="paragraph" w:customStyle="1" w:styleId="Tekst">
    <w:name w:val="Tekst"/>
    <w:autoRedefine/>
    <w:qFormat/>
    <w:rsid w:val="00750B19"/>
    <w:pPr>
      <w:spacing w:after="0" w:line="240" w:lineRule="auto"/>
      <w:jc w:val="both"/>
    </w:pPr>
    <w:rPr>
      <w:rFonts w:ascii="Times New Roman" w:eastAsia="SimSun" w:hAnsi="Times New Roman" w:cs="Mangal"/>
      <w:kern w:val="1"/>
      <w:sz w:val="24"/>
      <w:szCs w:val="24"/>
      <w:lang w:val="et-EE" w:eastAsia="zh-CN" w:bidi="hi-IN"/>
    </w:rPr>
  </w:style>
  <w:style w:type="paragraph" w:styleId="ListParagraph">
    <w:name w:val="List Paragraph"/>
    <w:basedOn w:val="Normal"/>
    <w:uiPriority w:val="34"/>
    <w:qFormat/>
    <w:rsid w:val="001E2A8C"/>
    <w:pPr>
      <w:ind w:left="720"/>
      <w:contextualSpacing/>
    </w:pPr>
  </w:style>
  <w:style w:type="paragraph" w:styleId="NoSpacing">
    <w:name w:val="No Spacing"/>
    <w:uiPriority w:val="1"/>
    <w:qFormat/>
    <w:rsid w:val="0027522F"/>
    <w:pPr>
      <w:spacing w:after="0" w:line="240" w:lineRule="auto"/>
    </w:pPr>
    <w:rPr>
      <w:rFonts w:ascii="Calibri" w:eastAsia="Calibri" w:hAnsi="Calibri" w:cs="Times New Roman"/>
      <w:lang w:val="et-EE"/>
    </w:rPr>
  </w:style>
  <w:style w:type="character" w:styleId="CommentReference">
    <w:name w:val="annotation reference"/>
    <w:basedOn w:val="DefaultParagraphFont"/>
    <w:uiPriority w:val="99"/>
    <w:semiHidden/>
    <w:unhideWhenUsed/>
    <w:rsid w:val="00491C27"/>
    <w:rPr>
      <w:sz w:val="16"/>
      <w:szCs w:val="16"/>
    </w:rPr>
  </w:style>
  <w:style w:type="paragraph" w:styleId="CommentText">
    <w:name w:val="annotation text"/>
    <w:basedOn w:val="Normal"/>
    <w:link w:val="CommentTextChar"/>
    <w:uiPriority w:val="99"/>
    <w:semiHidden/>
    <w:unhideWhenUsed/>
    <w:rsid w:val="00491C27"/>
    <w:rPr>
      <w:sz w:val="20"/>
      <w:szCs w:val="20"/>
    </w:rPr>
  </w:style>
  <w:style w:type="character" w:customStyle="1" w:styleId="CommentTextChar">
    <w:name w:val="Comment Text Char"/>
    <w:basedOn w:val="DefaultParagraphFont"/>
    <w:link w:val="CommentText"/>
    <w:uiPriority w:val="99"/>
    <w:semiHidden/>
    <w:rsid w:val="00491C27"/>
    <w:rPr>
      <w:rFonts w:ascii="Times New Roman" w:eastAsia="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sid w:val="00491C27"/>
    <w:rPr>
      <w:b/>
      <w:bCs/>
    </w:rPr>
  </w:style>
  <w:style w:type="character" w:customStyle="1" w:styleId="CommentSubjectChar">
    <w:name w:val="Comment Subject Char"/>
    <w:basedOn w:val="CommentTextChar"/>
    <w:link w:val="CommentSubject"/>
    <w:uiPriority w:val="99"/>
    <w:semiHidden/>
    <w:rsid w:val="00491C27"/>
    <w:rPr>
      <w:rFonts w:ascii="Times New Roman" w:eastAsia="Times New Roman" w:hAnsi="Times New Roman" w:cs="Times New Roman"/>
      <w:b/>
      <w:bCs/>
      <w:sz w:val="20"/>
      <w:szCs w:val="20"/>
      <w:lang w:val="et-EE"/>
    </w:rPr>
  </w:style>
  <w:style w:type="paragraph" w:styleId="BalloonText">
    <w:name w:val="Balloon Text"/>
    <w:basedOn w:val="Normal"/>
    <w:link w:val="BalloonTextChar"/>
    <w:uiPriority w:val="99"/>
    <w:semiHidden/>
    <w:unhideWhenUsed/>
    <w:rsid w:val="00491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C27"/>
    <w:rPr>
      <w:rFonts w:ascii="Segoe UI" w:eastAsia="Times New Roman" w:hAnsi="Segoe UI" w:cs="Segoe UI"/>
      <w:sz w:val="18"/>
      <w:szCs w:val="18"/>
      <w:lang w:val="et-EE"/>
    </w:rPr>
  </w:style>
  <w:style w:type="paragraph" w:styleId="Revision">
    <w:name w:val="Revision"/>
    <w:hidden/>
    <w:uiPriority w:val="99"/>
    <w:semiHidden/>
    <w:rsid w:val="000C7EC2"/>
    <w:pPr>
      <w:spacing w:after="0" w:line="240" w:lineRule="auto"/>
    </w:pPr>
    <w:rPr>
      <w:rFonts w:ascii="Times New Roman" w:eastAsia="Times New Roman" w:hAnsi="Times New Roman" w:cs="Times New Roman"/>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130789">
      <w:bodyDiv w:val="1"/>
      <w:marLeft w:val="0"/>
      <w:marRight w:val="0"/>
      <w:marTop w:val="0"/>
      <w:marBottom w:val="0"/>
      <w:divBdr>
        <w:top w:val="none" w:sz="0" w:space="0" w:color="auto"/>
        <w:left w:val="none" w:sz="0" w:space="0" w:color="auto"/>
        <w:bottom w:val="none" w:sz="0" w:space="0" w:color="auto"/>
        <w:right w:val="none" w:sz="0" w:space="0" w:color="auto"/>
      </w:divBdr>
    </w:div>
    <w:div w:id="1246525635">
      <w:bodyDiv w:val="1"/>
      <w:marLeft w:val="0"/>
      <w:marRight w:val="0"/>
      <w:marTop w:val="0"/>
      <w:marBottom w:val="0"/>
      <w:divBdr>
        <w:top w:val="none" w:sz="0" w:space="0" w:color="auto"/>
        <w:left w:val="none" w:sz="0" w:space="0" w:color="auto"/>
        <w:bottom w:val="none" w:sz="0" w:space="0" w:color="auto"/>
        <w:right w:val="none" w:sz="0" w:space="0" w:color="auto"/>
      </w:divBdr>
    </w:div>
    <w:div w:id="15854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83F4B-C653-4654-83DB-816A1AD1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3380</Characters>
  <Application>Microsoft Office Word</Application>
  <DocSecurity>0</DocSecurity>
  <Lines>28</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Maaeluministeerium</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Pau</dc:creator>
  <cp:keywords/>
  <dc:description/>
  <cp:lastModifiedBy>Ragne Lokk</cp:lastModifiedBy>
  <cp:revision>3</cp:revision>
  <dcterms:created xsi:type="dcterms:W3CDTF">2021-10-04T06:33:00Z</dcterms:created>
  <dcterms:modified xsi:type="dcterms:W3CDTF">2021-10-04T06:34:00Z</dcterms:modified>
</cp:coreProperties>
</file>