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8AB7" w14:textId="77777777" w:rsidR="005560E8" w:rsidRPr="000E420D" w:rsidRDefault="005560E8" w:rsidP="00BF7B97">
      <w:pPr>
        <w:rPr>
          <w:b/>
          <w:bCs/>
        </w:rPr>
      </w:pPr>
    </w:p>
    <w:p w14:paraId="0ED14DF3" w14:textId="77777777" w:rsidR="002D6483" w:rsidRPr="000E420D" w:rsidRDefault="002D6483" w:rsidP="00BF7B97">
      <w:pPr>
        <w:jc w:val="center"/>
        <w:rPr>
          <w:b/>
          <w:bCs/>
        </w:rPr>
      </w:pPr>
      <w:r w:rsidRPr="000E420D">
        <w:rPr>
          <w:b/>
          <w:bCs/>
        </w:rPr>
        <w:t>SELETUSKIRI</w:t>
      </w:r>
    </w:p>
    <w:p w14:paraId="75147AEA" w14:textId="526B2E55" w:rsidR="004575D5" w:rsidRDefault="00B54806" w:rsidP="009302E1">
      <w:pPr>
        <w:jc w:val="center"/>
        <w:rPr>
          <w:b/>
          <w:bCs/>
        </w:rPr>
      </w:pPr>
      <w:r w:rsidRPr="00765628">
        <w:rPr>
          <w:b/>
          <w:lang w:eastAsia="et-EE"/>
        </w:rPr>
        <w:t>maaeluministri määruse „Maaeluministri määruste muutmine“ eelnõu juurde</w:t>
      </w:r>
    </w:p>
    <w:p w14:paraId="4F51EBFC" w14:textId="77777777" w:rsidR="00BF7B97" w:rsidRDefault="00BF7B97" w:rsidP="009302E1">
      <w:pPr>
        <w:rPr>
          <w:b/>
          <w:bCs/>
        </w:rPr>
      </w:pPr>
    </w:p>
    <w:p w14:paraId="60A065BE" w14:textId="355B45BD" w:rsidR="002D6483" w:rsidRDefault="002D6483" w:rsidP="009302E1">
      <w:pPr>
        <w:rPr>
          <w:b/>
          <w:bCs/>
        </w:rPr>
      </w:pPr>
      <w:r w:rsidRPr="005E217C">
        <w:rPr>
          <w:b/>
          <w:bCs/>
        </w:rPr>
        <w:t>1. Sissejuhatus</w:t>
      </w:r>
    </w:p>
    <w:p w14:paraId="4A15EF17" w14:textId="77777777" w:rsidR="00BF7B97" w:rsidRPr="005E217C" w:rsidRDefault="00BF7B97" w:rsidP="009302E1">
      <w:pPr>
        <w:rPr>
          <w:b/>
          <w:bCs/>
        </w:rPr>
      </w:pPr>
    </w:p>
    <w:p w14:paraId="046C0DD5" w14:textId="74DD6105" w:rsidR="005E217C" w:rsidRDefault="00AA5ED4" w:rsidP="009302E1">
      <w:pPr>
        <w:jc w:val="both"/>
      </w:pPr>
      <w:r w:rsidRPr="00263EFE">
        <w:rPr>
          <w:lang w:eastAsia="et-EE"/>
        </w:rPr>
        <w:t xml:space="preserve">Maaeluministri määrus „Maaeluministri määruste muutmine“ (edaspidi </w:t>
      </w:r>
      <w:r w:rsidRPr="00263EFE">
        <w:rPr>
          <w:i/>
          <w:lang w:eastAsia="et-EE"/>
        </w:rPr>
        <w:t>eelnõu</w:t>
      </w:r>
      <w:r w:rsidRPr="00263EFE">
        <w:rPr>
          <w:lang w:eastAsia="et-EE"/>
        </w:rPr>
        <w:t xml:space="preserve">) </w:t>
      </w:r>
      <w:r w:rsidR="00DE6723" w:rsidRPr="00263EFE">
        <w:t>kehtestatakse Euroopa Liidu ühise põllumajanduspoliitika rakendamise seaduse § 67 lõike 2</w:t>
      </w:r>
      <w:r w:rsidR="0099565B" w:rsidRPr="00263EFE">
        <w:t xml:space="preserve"> alusel.</w:t>
      </w:r>
    </w:p>
    <w:p w14:paraId="62FC06BB" w14:textId="77777777" w:rsidR="00BF7B97" w:rsidRPr="00263EFE" w:rsidRDefault="00BF7B97" w:rsidP="009302E1">
      <w:pPr>
        <w:jc w:val="both"/>
      </w:pPr>
    </w:p>
    <w:p w14:paraId="111AA1E3" w14:textId="7E803FAF" w:rsidR="009158D8" w:rsidRDefault="009158D8" w:rsidP="00BF7B97">
      <w:pPr>
        <w:pStyle w:val="Default"/>
        <w:jc w:val="both"/>
        <w:rPr>
          <w:bCs/>
        </w:rPr>
      </w:pPr>
      <w:r w:rsidRPr="00884F52">
        <w:rPr>
          <w:bCs/>
        </w:rPr>
        <w:t xml:space="preserve">Eelnõuga muudetakse </w:t>
      </w:r>
      <w:r w:rsidR="008C7003" w:rsidRPr="00884F52">
        <w:rPr>
          <w:bCs/>
        </w:rPr>
        <w:t>k</w:t>
      </w:r>
      <w:r w:rsidR="008C7003">
        <w:rPr>
          <w:bCs/>
        </w:rPr>
        <w:t>olme</w:t>
      </w:r>
      <w:r w:rsidR="008C7003" w:rsidRPr="00884F52">
        <w:rPr>
          <w:bCs/>
        </w:rPr>
        <w:t xml:space="preserve"> </w:t>
      </w:r>
      <w:r w:rsidRPr="00884F52">
        <w:rPr>
          <w:bCs/>
        </w:rPr>
        <w:t xml:space="preserve">maaeluministri määrust: </w:t>
      </w:r>
      <w:r w:rsidR="00336389" w:rsidRPr="00884F52">
        <w:rPr>
          <w:bCs/>
        </w:rPr>
        <w:t>maaeluministri 11. mai 2015. a määrust nr</w:t>
      </w:r>
      <w:r w:rsidR="0064751F">
        <w:rPr>
          <w:bCs/>
        </w:rPr>
        <w:t> </w:t>
      </w:r>
      <w:r w:rsidR="00336389" w:rsidRPr="00884F52">
        <w:rPr>
          <w:bCs/>
        </w:rPr>
        <w:t>59 „Metsaala arengu ja metsade elujõulisuse parandamise investeeringutoetus“</w:t>
      </w:r>
      <w:r w:rsidR="0025438A">
        <w:rPr>
          <w:bCs/>
        </w:rPr>
        <w:t xml:space="preserve"> </w:t>
      </w:r>
      <w:r w:rsidR="00336389">
        <w:rPr>
          <w:bCs/>
        </w:rPr>
        <w:t xml:space="preserve">(edaspidi </w:t>
      </w:r>
      <w:r w:rsidR="00336389" w:rsidRPr="00082B5F">
        <w:rPr>
          <w:bCs/>
          <w:i/>
        </w:rPr>
        <w:t>määrus nr 59</w:t>
      </w:r>
      <w:r w:rsidR="00336389">
        <w:rPr>
          <w:bCs/>
        </w:rPr>
        <w:t xml:space="preserve">), </w:t>
      </w:r>
      <w:r w:rsidRPr="00884F52">
        <w:rPr>
          <w:bCs/>
        </w:rPr>
        <w:t xml:space="preserve">maaeluministri 29. juuli 2015. a määrust nr 76 „Põllu- ja metsamajanduse taristu arendamise ja hoiu investeeringutoetus” </w:t>
      </w:r>
      <w:r>
        <w:rPr>
          <w:bCs/>
        </w:rPr>
        <w:t xml:space="preserve">(edaspidi </w:t>
      </w:r>
      <w:r w:rsidRPr="00082B5F">
        <w:rPr>
          <w:bCs/>
          <w:i/>
        </w:rPr>
        <w:t>määrus nr 76</w:t>
      </w:r>
      <w:r>
        <w:rPr>
          <w:bCs/>
        </w:rPr>
        <w:t>)</w:t>
      </w:r>
      <w:r w:rsidR="00A07A71">
        <w:rPr>
          <w:bCs/>
        </w:rPr>
        <w:t xml:space="preserve"> ning </w:t>
      </w:r>
      <w:r w:rsidR="00336389">
        <w:t>m</w:t>
      </w:r>
      <w:r w:rsidR="00A07A71">
        <w:t xml:space="preserve">aaeluministri 7. mai 2018. a määrust nr 26 „Põllu- ja metsamajanduse taristu arendamise ning hoiu investeeringutoetus Maaeluministeeriumi valitsemisala riigiasutustele“ </w:t>
      </w:r>
      <w:r w:rsidR="00A07A71">
        <w:rPr>
          <w:bCs/>
        </w:rPr>
        <w:t xml:space="preserve">(edaspidi </w:t>
      </w:r>
      <w:r w:rsidR="00A07A71" w:rsidRPr="00082B5F">
        <w:rPr>
          <w:bCs/>
          <w:i/>
        </w:rPr>
        <w:t xml:space="preserve">määrus nr </w:t>
      </w:r>
      <w:r w:rsidR="00A07A71">
        <w:rPr>
          <w:bCs/>
          <w:i/>
        </w:rPr>
        <w:t>26</w:t>
      </w:r>
      <w:r w:rsidR="00A07A71">
        <w:rPr>
          <w:bCs/>
        </w:rPr>
        <w:t>)</w:t>
      </w:r>
      <w:r>
        <w:rPr>
          <w:bCs/>
        </w:rPr>
        <w:t>.</w:t>
      </w:r>
    </w:p>
    <w:p w14:paraId="45C14533" w14:textId="106B877D" w:rsidR="009158D8" w:rsidRDefault="00A07A71">
      <w:pPr>
        <w:pStyle w:val="Default"/>
        <w:jc w:val="both"/>
        <w:rPr>
          <w:bCs/>
        </w:rPr>
      </w:pPr>
      <w:r>
        <w:rPr>
          <w:bCs/>
        </w:rPr>
        <w:t xml:space="preserve"> </w:t>
      </w:r>
    </w:p>
    <w:p w14:paraId="22889729" w14:textId="4ECDE926" w:rsidR="00D54A61" w:rsidRDefault="00D54A61">
      <w:pPr>
        <w:pStyle w:val="Default"/>
        <w:jc w:val="both"/>
      </w:pPr>
      <w:r>
        <w:rPr>
          <w:color w:val="auto"/>
        </w:rPr>
        <w:t>M</w:t>
      </w:r>
      <w:r w:rsidRPr="00C67FA3">
        <w:rPr>
          <w:color w:val="auto"/>
        </w:rPr>
        <w:t>äärus</w:t>
      </w:r>
      <w:r w:rsidR="005E0DD7">
        <w:rPr>
          <w:color w:val="auto"/>
        </w:rPr>
        <w:t>tes nr 59 ja</w:t>
      </w:r>
      <w:r w:rsidRPr="00C67FA3">
        <w:rPr>
          <w:color w:val="auto"/>
        </w:rPr>
        <w:t xml:space="preserve"> nr 76 </w:t>
      </w:r>
      <w:r w:rsidRPr="006F3CE3">
        <w:rPr>
          <w:color w:val="auto"/>
        </w:rPr>
        <w:t>luua</w:t>
      </w:r>
      <w:r w:rsidR="005E0DD7">
        <w:rPr>
          <w:color w:val="auto"/>
        </w:rPr>
        <w:t>kse</w:t>
      </w:r>
      <w:r w:rsidRPr="006F3CE3">
        <w:rPr>
          <w:color w:val="auto"/>
        </w:rPr>
        <w:t xml:space="preserve"> toetuse</w:t>
      </w:r>
      <w:r>
        <w:rPr>
          <w:color w:val="auto"/>
        </w:rPr>
        <w:t xml:space="preserve"> taotlejatele </w:t>
      </w:r>
      <w:r w:rsidRPr="006F3CE3">
        <w:rPr>
          <w:color w:val="auto"/>
        </w:rPr>
        <w:t>soodsa</w:t>
      </w:r>
      <w:r>
        <w:rPr>
          <w:color w:val="auto"/>
        </w:rPr>
        <w:t>ma</w:t>
      </w:r>
      <w:r w:rsidRPr="006F3CE3">
        <w:rPr>
          <w:color w:val="auto"/>
        </w:rPr>
        <w:t xml:space="preserve">d </w:t>
      </w:r>
      <w:r>
        <w:rPr>
          <w:color w:val="auto"/>
        </w:rPr>
        <w:t xml:space="preserve">võimalused toetuse </w:t>
      </w:r>
      <w:r w:rsidRPr="0078663E">
        <w:rPr>
          <w:color w:val="auto"/>
        </w:rPr>
        <w:t>taotlemiseks</w:t>
      </w:r>
      <w:r>
        <w:rPr>
          <w:color w:val="auto"/>
        </w:rPr>
        <w:t xml:space="preserve">, mistõttu leevendatakse </w:t>
      </w:r>
      <w:r w:rsidRPr="000D7C55">
        <w:rPr>
          <w:bCs/>
        </w:rPr>
        <w:t>Rail Baltic</w:t>
      </w:r>
      <w:r w:rsidR="00C32CE1">
        <w:rPr>
          <w:bCs/>
        </w:rPr>
        <w:t>u</w:t>
      </w:r>
      <w:r w:rsidRPr="000D7C55">
        <w:rPr>
          <w:bCs/>
        </w:rPr>
        <w:t xml:space="preserve"> raudtee trassi</w:t>
      </w:r>
      <w:r w:rsidR="00C32CE1">
        <w:rPr>
          <w:bCs/>
        </w:rPr>
        <w:t xml:space="preserve"> </w:t>
      </w:r>
      <w:r>
        <w:rPr>
          <w:bCs/>
        </w:rPr>
        <w:t>koridori</w:t>
      </w:r>
      <w:r w:rsidR="00790766">
        <w:rPr>
          <w:bCs/>
        </w:rPr>
        <w:t>s</w:t>
      </w:r>
      <w:r>
        <w:rPr>
          <w:bCs/>
        </w:rPr>
        <w:t xml:space="preserve"> taotlemise tingimusi</w:t>
      </w:r>
      <w:r w:rsidR="005E0DD7">
        <w:rPr>
          <w:bCs/>
        </w:rPr>
        <w:t>.</w:t>
      </w:r>
      <w:r w:rsidR="00C32CE1">
        <w:rPr>
          <w:bCs/>
        </w:rPr>
        <w:t xml:space="preserve"> </w:t>
      </w:r>
      <w:r w:rsidR="005E0DD7">
        <w:rPr>
          <w:bCs/>
        </w:rPr>
        <w:t xml:space="preserve">Määruses nr 76 </w:t>
      </w:r>
      <w:r w:rsidR="00790766" w:rsidRPr="002E609C">
        <w:rPr>
          <w:bCs/>
        </w:rPr>
        <w:t>pikendatakse</w:t>
      </w:r>
      <w:r w:rsidR="00790766">
        <w:rPr>
          <w:bCs/>
        </w:rPr>
        <w:t xml:space="preserve"> 2021. ja 2022. aastal toetuse taotlemiseks vajalike dokumentide Põllumajandus- ja Toiduametile (</w:t>
      </w:r>
      <w:r w:rsidR="00790766" w:rsidRPr="002F3C99">
        <w:rPr>
          <w:bCs/>
        </w:rPr>
        <w:t>edaspidi</w:t>
      </w:r>
      <w:r w:rsidR="00790766" w:rsidRPr="00C51B91">
        <w:rPr>
          <w:bCs/>
          <w:i/>
        </w:rPr>
        <w:t xml:space="preserve"> P</w:t>
      </w:r>
      <w:r w:rsidR="00790766">
        <w:rPr>
          <w:bCs/>
          <w:i/>
        </w:rPr>
        <w:t>T</w:t>
      </w:r>
      <w:r w:rsidR="00790766" w:rsidRPr="00C51B91">
        <w:rPr>
          <w:bCs/>
          <w:i/>
        </w:rPr>
        <w:t>A)</w:t>
      </w:r>
      <w:r w:rsidR="00790766" w:rsidRPr="00D046BE">
        <w:t xml:space="preserve"> </w:t>
      </w:r>
      <w:r w:rsidR="00790766">
        <w:rPr>
          <w:bCs/>
        </w:rPr>
        <w:t xml:space="preserve">esitamise tähtaega </w:t>
      </w:r>
      <w:r w:rsidR="00790766" w:rsidRPr="00C51B91">
        <w:rPr>
          <w:bCs/>
        </w:rPr>
        <w:t>kahe kuu võrra</w:t>
      </w:r>
      <w:r w:rsidR="00790766">
        <w:rPr>
          <w:bCs/>
        </w:rPr>
        <w:t>.</w:t>
      </w:r>
      <w:r>
        <w:rPr>
          <w:bCs/>
        </w:rPr>
        <w:t xml:space="preserve"> </w:t>
      </w:r>
      <w:r w:rsidRPr="00104D85">
        <w:t xml:space="preserve">Lisaks </w:t>
      </w:r>
      <w:r>
        <w:t>sätestatakse määrus</w:t>
      </w:r>
      <w:r w:rsidR="00C32CE1">
        <w:t>t</w:t>
      </w:r>
      <w:r>
        <w:t xml:space="preserve">es </w:t>
      </w:r>
      <w:r w:rsidR="00C0366D">
        <w:t>nr</w:t>
      </w:r>
      <w:r w:rsidR="003408CB">
        <w:t> </w:t>
      </w:r>
      <w:r w:rsidR="00C0366D">
        <w:t xml:space="preserve">76 ja </w:t>
      </w:r>
      <w:r w:rsidR="00C32CE1">
        <w:t xml:space="preserve">nr </w:t>
      </w:r>
      <w:r w:rsidR="00C0366D">
        <w:t xml:space="preserve">26 </w:t>
      </w:r>
      <w:r w:rsidRPr="00104D85">
        <w:t xml:space="preserve">investeeringu tegemist </w:t>
      </w:r>
      <w:r w:rsidRPr="00FA4920">
        <w:t>tõendavate dokumentide esitamiseks lõpptäht</w:t>
      </w:r>
      <w:r w:rsidR="00C32CE1" w:rsidRPr="00FA4920">
        <w:t>päev</w:t>
      </w:r>
      <w:r w:rsidRPr="00FA4920">
        <w:t>, milleks on 2025. aasta 30. juuni tulenevalt</w:t>
      </w:r>
      <w:r w:rsidR="00837C89" w:rsidRPr="00FA4920">
        <w:rPr>
          <w:i/>
        </w:rPr>
        <w:t xml:space="preserve"> </w:t>
      </w:r>
      <w:r w:rsidR="00837C89" w:rsidRPr="00FA4920">
        <w:t>üleminekumäärusest</w:t>
      </w:r>
      <w:r w:rsidR="00A82766" w:rsidRPr="00FA4920">
        <w:rPr>
          <w:rStyle w:val="FootnoteReference"/>
        </w:rPr>
        <w:footnoteReference w:id="1"/>
      </w:r>
      <w:r w:rsidRPr="00FA4920">
        <w:t xml:space="preserve">. Seega peavad toetatavad tegevused olema ellu viidud ja kulu abikõlblikkust tõendavad dokumendid Põllumajanduse Registrite ja Informatsiooni Ametile (edaspidi </w:t>
      </w:r>
      <w:r w:rsidRPr="00FA4920">
        <w:rPr>
          <w:i/>
        </w:rPr>
        <w:t>PRIA</w:t>
      </w:r>
      <w:r w:rsidRPr="00FA4920">
        <w:t xml:space="preserve">) esitatud hiljemalt </w:t>
      </w:r>
      <w:r w:rsidR="001705EA" w:rsidRPr="00FA4920">
        <w:t xml:space="preserve">2025. aasta </w:t>
      </w:r>
      <w:r w:rsidRPr="00FA4920">
        <w:t>30. juunil.</w:t>
      </w:r>
      <w:r w:rsidR="009158D8" w:rsidRPr="00FA4920">
        <w:t xml:space="preserve"> </w:t>
      </w:r>
      <w:r w:rsidR="00CE1A5B" w:rsidRPr="00FA4920">
        <w:t>Määruses nr 26</w:t>
      </w:r>
      <w:r w:rsidR="00312F51" w:rsidRPr="00FA4920">
        <w:t xml:space="preserve"> </w:t>
      </w:r>
      <w:r w:rsidR="00B11C04" w:rsidRPr="00FA4920">
        <w:t xml:space="preserve">lubatakse edaspidi ka PTA-l taotleda ettevalmistavaid töid ning </w:t>
      </w:r>
      <w:r w:rsidR="00312F51" w:rsidRPr="00FA4920">
        <w:t>sätestatakse</w:t>
      </w:r>
      <w:r w:rsidR="00CE1A5B" w:rsidRPr="00FA4920">
        <w:t xml:space="preserve">, et </w:t>
      </w:r>
      <w:r w:rsidR="00B11C04" w:rsidRPr="00FA4920">
        <w:t>toetatava tegevuse osaks on</w:t>
      </w:r>
      <w:r w:rsidR="00CE1A5B" w:rsidRPr="00FA4920">
        <w:t xml:space="preserve"> ühiseesvoolu uuendamisega seotud uuendusprojekti projekteerimistöö ja selleks vajalik uurimistöö, ehitusgeoloogili</w:t>
      </w:r>
      <w:r w:rsidR="00B11C04" w:rsidRPr="00FA4920">
        <w:t>n</w:t>
      </w:r>
      <w:r w:rsidR="00CE1A5B" w:rsidRPr="00FA4920">
        <w:t>e ja -geodeetili</w:t>
      </w:r>
      <w:r w:rsidR="00B11C04" w:rsidRPr="00FA4920">
        <w:t>n</w:t>
      </w:r>
      <w:r w:rsidR="00CE1A5B" w:rsidRPr="00FA4920">
        <w:t>e töö</w:t>
      </w:r>
      <w:r w:rsidR="00FA627D" w:rsidRPr="00FA4920">
        <w:t xml:space="preserve"> ning</w:t>
      </w:r>
      <w:r w:rsidR="00CE1A5B" w:rsidRPr="00FA4920">
        <w:t xml:space="preserve"> keskkonnamõju hindamisega </w:t>
      </w:r>
      <w:r w:rsidR="00CE1A5B" w:rsidRPr="00FA4920">
        <w:rPr>
          <w:bCs/>
        </w:rPr>
        <w:t xml:space="preserve">seotud </w:t>
      </w:r>
      <w:r w:rsidR="00B11C04" w:rsidRPr="00FA4920">
        <w:rPr>
          <w:bCs/>
        </w:rPr>
        <w:t>tegevus</w:t>
      </w:r>
      <w:r w:rsidR="00B11C04" w:rsidRPr="00FA4920">
        <w:t xml:space="preserve"> </w:t>
      </w:r>
      <w:r w:rsidR="00CE1A5B" w:rsidRPr="00FA4920">
        <w:t xml:space="preserve">(edaspidi koos </w:t>
      </w:r>
      <w:r w:rsidR="00CE1A5B" w:rsidRPr="00FA4920">
        <w:rPr>
          <w:i/>
        </w:rPr>
        <w:t>uuendamise projekteerimistöö</w:t>
      </w:r>
      <w:r w:rsidR="00CE1A5B" w:rsidRPr="00FA4920">
        <w:t>).</w:t>
      </w:r>
      <w:r w:rsidR="00CE1A5B" w:rsidRPr="00104D85">
        <w:t xml:space="preserve"> </w:t>
      </w:r>
    </w:p>
    <w:p w14:paraId="7AD86DF2" w14:textId="77777777" w:rsidR="004575D5" w:rsidRDefault="004575D5">
      <w:pPr>
        <w:jc w:val="both"/>
      </w:pPr>
    </w:p>
    <w:p w14:paraId="7DCADF85" w14:textId="48F68D7D" w:rsidR="004575D5" w:rsidRPr="005E217C" w:rsidRDefault="004575D5">
      <w:pPr>
        <w:jc w:val="both"/>
      </w:pPr>
      <w:r w:rsidRPr="008A0C16">
        <w:t>Eelnõu ja seletuskirja on koostanud Maaeluministeeriumi maaparanduse ja maakasutuse büroo peaspetsialist</w:t>
      </w:r>
      <w:r>
        <w:t>id</w:t>
      </w:r>
      <w:r w:rsidRPr="008A0C16">
        <w:t xml:space="preserve"> Hannes Puu (625 6241, </w:t>
      </w:r>
      <w:hyperlink r:id="rId7" w:history="1">
        <w:r w:rsidRPr="00E8770F">
          <w:rPr>
            <w:rStyle w:val="Hyperlink"/>
            <w:color w:val="auto"/>
            <w:u w:val="none"/>
          </w:rPr>
          <w:t>hannes.puu@agri.ee</w:t>
        </w:r>
      </w:hyperlink>
      <w:r w:rsidRPr="00E8770F">
        <w:t>)</w:t>
      </w:r>
      <w:r>
        <w:t xml:space="preserve"> ja Kristine Hindriks (625 6187, </w:t>
      </w:r>
      <w:r w:rsidRPr="00BA0666">
        <w:t>kristine.hindriks@agri.ee)</w:t>
      </w:r>
      <w:r w:rsidRPr="005E217C">
        <w:t xml:space="preserve">. Juriidilise ekspertiisi eelnõule on teinud Maaeluministeeriumi õigusosakonna </w:t>
      </w:r>
      <w:r w:rsidR="00EB70CC">
        <w:t>peaspetsialist</w:t>
      </w:r>
      <w:r w:rsidR="00955E22">
        <w:t xml:space="preserve"> Helen Palginõmm</w:t>
      </w:r>
      <w:r>
        <w:t xml:space="preserve"> </w:t>
      </w:r>
      <w:r w:rsidRPr="005E217C">
        <w:t>(625</w:t>
      </w:r>
      <w:r w:rsidR="00EB70CC">
        <w:t xml:space="preserve"> </w:t>
      </w:r>
      <w:r>
        <w:t>6</w:t>
      </w:r>
      <w:r w:rsidR="00EB70CC">
        <w:t>260</w:t>
      </w:r>
      <w:r w:rsidRPr="005E217C">
        <w:t xml:space="preserve">, </w:t>
      </w:r>
      <w:r w:rsidR="00EB70CC">
        <w:t>helen.palginomm</w:t>
      </w:r>
      <w:r>
        <w:t xml:space="preserve">@agri.ee). </w:t>
      </w:r>
      <w:r w:rsidRPr="005E217C">
        <w:t xml:space="preserve">Eelnõu on keeleliselt toimetanud Maaeluministeeriumi õigusosakonna </w:t>
      </w:r>
      <w:r>
        <w:t xml:space="preserve">peaspetsialist </w:t>
      </w:r>
      <w:r w:rsidR="00EB70CC">
        <w:t xml:space="preserve">Laura Ojava </w:t>
      </w:r>
      <w:r w:rsidRPr="002E609C">
        <w:t>(625</w:t>
      </w:r>
      <w:r>
        <w:t> 65</w:t>
      </w:r>
      <w:r w:rsidR="00EB70CC">
        <w:t>23</w:t>
      </w:r>
      <w:r w:rsidRPr="002E609C">
        <w:t>,</w:t>
      </w:r>
      <w:r>
        <w:t xml:space="preserve"> </w:t>
      </w:r>
      <w:r w:rsidR="00EB70CC">
        <w:t>laura.ojava</w:t>
      </w:r>
      <w:r>
        <w:t>@agri.ee)</w:t>
      </w:r>
      <w:r w:rsidRPr="005E217C">
        <w:t>.</w:t>
      </w:r>
    </w:p>
    <w:p w14:paraId="6D1BCD5E" w14:textId="77777777" w:rsidR="00C56DF6" w:rsidRPr="008A0C16" w:rsidRDefault="00C56DF6">
      <w:pPr>
        <w:jc w:val="both"/>
      </w:pPr>
    </w:p>
    <w:p w14:paraId="5EA2884E" w14:textId="77777777" w:rsidR="003D3945" w:rsidRPr="008A0C16" w:rsidRDefault="002D6483">
      <w:pPr>
        <w:jc w:val="both"/>
        <w:rPr>
          <w:b/>
          <w:bCs/>
        </w:rPr>
      </w:pPr>
      <w:r w:rsidRPr="008A0C16">
        <w:rPr>
          <w:b/>
          <w:bCs/>
        </w:rPr>
        <w:t>2. Eelnõu sisu ja võrdlev analüüs</w:t>
      </w:r>
    </w:p>
    <w:p w14:paraId="2E7A281B" w14:textId="77777777" w:rsidR="00D36C4B" w:rsidRDefault="00D36C4B">
      <w:pPr>
        <w:jc w:val="both"/>
      </w:pPr>
    </w:p>
    <w:p w14:paraId="78C63A6E" w14:textId="76E846B0" w:rsidR="00CB7C03" w:rsidRDefault="005F6C02">
      <w:pPr>
        <w:jc w:val="both"/>
        <w:rPr>
          <w:b/>
          <w:bCs/>
        </w:rPr>
      </w:pPr>
      <w:r w:rsidRPr="00956624">
        <w:t xml:space="preserve">Eelnõu koosneb </w:t>
      </w:r>
      <w:r w:rsidR="00A07A71">
        <w:t xml:space="preserve">kolmest </w:t>
      </w:r>
      <w:r w:rsidR="00597241">
        <w:t>paragrahvist</w:t>
      </w:r>
      <w:r w:rsidRPr="00956624">
        <w:t>.</w:t>
      </w:r>
      <w:r w:rsidR="00EB7D88">
        <w:t xml:space="preserve"> </w:t>
      </w:r>
    </w:p>
    <w:p w14:paraId="45D5D137" w14:textId="77777777" w:rsidR="00D36C4B" w:rsidRDefault="00D36C4B">
      <w:pPr>
        <w:jc w:val="both"/>
        <w:rPr>
          <w:b/>
          <w:bCs/>
        </w:rPr>
      </w:pPr>
    </w:p>
    <w:p w14:paraId="1BDE3D69" w14:textId="1E6B0140" w:rsidR="005E0DD7" w:rsidRDefault="009B52FE">
      <w:pPr>
        <w:jc w:val="both"/>
        <w:rPr>
          <w:bCs/>
        </w:rPr>
      </w:pPr>
      <w:r w:rsidRPr="00263EFE">
        <w:rPr>
          <w:b/>
          <w:bCs/>
        </w:rPr>
        <w:t xml:space="preserve">Eelnõu §-ga 1 ning § 2 punktiga 3 </w:t>
      </w:r>
      <w:r w:rsidRPr="00263EFE">
        <w:rPr>
          <w:bCs/>
        </w:rPr>
        <w:t xml:space="preserve">muudetakse </w:t>
      </w:r>
      <w:r w:rsidRPr="00263EFE">
        <w:rPr>
          <w:color w:val="000000" w:themeColor="text1"/>
        </w:rPr>
        <w:t>määruse nr 59 §</w:t>
      </w:r>
      <w:r w:rsidRPr="00263EFE">
        <w:rPr>
          <w:b/>
          <w:bCs/>
          <w:color w:val="000000" w:themeColor="text1"/>
        </w:rPr>
        <w:t xml:space="preserve"> </w:t>
      </w:r>
      <w:r w:rsidRPr="00263EFE">
        <w:t xml:space="preserve">23 lõiget 5 ja </w:t>
      </w:r>
      <w:r w:rsidRPr="00263EFE">
        <w:rPr>
          <w:bCs/>
          <w:color w:val="000000" w:themeColor="text1"/>
        </w:rPr>
        <w:t xml:space="preserve">määruse nr 76 </w:t>
      </w:r>
      <w:r w:rsidRPr="00263EFE">
        <w:rPr>
          <w:color w:val="000000" w:themeColor="text1"/>
        </w:rPr>
        <w:t>§</w:t>
      </w:r>
      <w:r w:rsidR="0064751F">
        <w:rPr>
          <w:color w:val="000000" w:themeColor="text1"/>
        </w:rPr>
        <w:t> </w:t>
      </w:r>
      <w:r w:rsidRPr="00263EFE">
        <w:rPr>
          <w:color w:val="000000" w:themeColor="text1"/>
        </w:rPr>
        <w:t>24 lõiget 1</w:t>
      </w:r>
      <w:r w:rsidRPr="00263EFE">
        <w:rPr>
          <w:bCs/>
        </w:rPr>
        <w:t>, mille tulemusena laiendatakse toetusõiguslik</w:t>
      </w:r>
      <w:r w:rsidR="00C249C6">
        <w:rPr>
          <w:bCs/>
        </w:rPr>
        <w:t>k</w:t>
      </w:r>
      <w:r w:rsidRPr="00263EFE">
        <w:rPr>
          <w:bCs/>
        </w:rPr>
        <w:t xml:space="preserve">u </w:t>
      </w:r>
      <w:r w:rsidR="00AB11F8" w:rsidRPr="00263EFE">
        <w:rPr>
          <w:bCs/>
        </w:rPr>
        <w:t>maa-</w:t>
      </w:r>
      <w:r w:rsidRPr="00263EFE">
        <w:rPr>
          <w:bCs/>
        </w:rPr>
        <w:t>ala seoses Rail Baltic</w:t>
      </w:r>
      <w:r w:rsidR="00AB11F8" w:rsidRPr="00263EFE">
        <w:rPr>
          <w:bCs/>
        </w:rPr>
        <w:t>u</w:t>
      </w:r>
      <w:r w:rsidRPr="00263EFE">
        <w:rPr>
          <w:bCs/>
        </w:rPr>
        <w:t xml:space="preserve"> trassi</w:t>
      </w:r>
      <w:r w:rsidR="00AB11F8" w:rsidRPr="00263EFE">
        <w:rPr>
          <w:bCs/>
        </w:rPr>
        <w:t xml:space="preserve"> </w:t>
      </w:r>
      <w:r w:rsidRPr="00263EFE">
        <w:rPr>
          <w:bCs/>
        </w:rPr>
        <w:t xml:space="preserve">koridori selgumisega. </w:t>
      </w:r>
      <w:r w:rsidR="00AB11F8" w:rsidRPr="00263EFE">
        <w:rPr>
          <w:bCs/>
        </w:rPr>
        <w:t>Kehtivate määruste</w:t>
      </w:r>
      <w:r w:rsidR="0076779A">
        <w:rPr>
          <w:bCs/>
        </w:rPr>
        <w:t xml:space="preserve"> nr 59 ja nr 76</w:t>
      </w:r>
      <w:r w:rsidR="00AB11F8" w:rsidRPr="00263EFE">
        <w:rPr>
          <w:bCs/>
        </w:rPr>
        <w:t xml:space="preserve"> kohaselt ei saa alates 2017. aastast toetust taotleda </w:t>
      </w:r>
      <w:r w:rsidR="00C249C6">
        <w:rPr>
          <w:bCs/>
        </w:rPr>
        <w:t xml:space="preserve">sellise </w:t>
      </w:r>
      <w:r w:rsidR="00AB11F8" w:rsidRPr="00263EFE">
        <w:rPr>
          <w:bCs/>
        </w:rPr>
        <w:t>tegevuse elluviimiseks</w:t>
      </w:r>
      <w:r w:rsidR="00C842AB" w:rsidRPr="00263EFE">
        <w:rPr>
          <w:color w:val="202020"/>
          <w:shd w:val="clear" w:color="auto" w:fill="FFFFFF"/>
        </w:rPr>
        <w:t>, mida tehakse maal</w:t>
      </w:r>
      <w:r w:rsidR="00AB11F8" w:rsidRPr="00263EFE">
        <w:rPr>
          <w:bCs/>
        </w:rPr>
        <w:t>, mis Harju, Rapla ja Pärnu maakonnas algatatud maakonnaplaneeringu kohaselt</w:t>
      </w:r>
      <w:r w:rsidR="00C842AB" w:rsidRPr="00263EFE">
        <w:rPr>
          <w:bCs/>
        </w:rPr>
        <w:t xml:space="preserve"> määratakse</w:t>
      </w:r>
      <w:r w:rsidR="00AB11F8" w:rsidRPr="00263EFE">
        <w:rPr>
          <w:bCs/>
        </w:rPr>
        <w:t xml:space="preserve"> Rail Balticu raudtee trassi koridori asukohaks. Maakonnaplaneeringutes kehtestati 350 meetri laiune trassikoridor raudteele ja sellega </w:t>
      </w:r>
      <w:r w:rsidR="00955E22">
        <w:rPr>
          <w:bCs/>
        </w:rPr>
        <w:t>seotud</w:t>
      </w:r>
      <w:r w:rsidR="00AB11F8" w:rsidRPr="00263EFE">
        <w:rPr>
          <w:bCs/>
        </w:rPr>
        <w:t xml:space="preserve"> infrastruktuurile (teenindusteed, juurdepääsuteed kruntidele, ülesõidud ja </w:t>
      </w:r>
      <w:r w:rsidR="00C249C6">
        <w:rPr>
          <w:bCs/>
        </w:rPr>
        <w:noBreakHyphen/>
      </w:r>
      <w:r w:rsidR="00AB11F8" w:rsidRPr="00263EFE">
        <w:rPr>
          <w:bCs/>
        </w:rPr>
        <w:t>käigud, ökoduktid jne),</w:t>
      </w:r>
      <w:r w:rsidR="00AB11F8" w:rsidRPr="00263EFE">
        <w:t xml:space="preserve"> </w:t>
      </w:r>
      <w:r w:rsidR="00AB11F8" w:rsidRPr="00263EFE">
        <w:rPr>
          <w:bCs/>
        </w:rPr>
        <w:t>mida raudtee võib läbida ehk määrati ära võimalik maksimaalne ala, mis</w:t>
      </w:r>
      <w:r w:rsidR="00AB11F8" w:rsidRPr="00263EFE">
        <w:t xml:space="preserve"> </w:t>
      </w:r>
      <w:r w:rsidR="00AB11F8" w:rsidRPr="00263EFE">
        <w:rPr>
          <w:bCs/>
        </w:rPr>
        <w:t xml:space="preserve">sisaldas </w:t>
      </w:r>
      <w:r w:rsidR="00AB11F8" w:rsidRPr="00263EFE">
        <w:rPr>
          <w:bCs/>
        </w:rPr>
        <w:lastRenderedPageBreak/>
        <w:t xml:space="preserve">nii raudteemaad, kaitsevööndit </w:t>
      </w:r>
      <w:r w:rsidR="00A7365B" w:rsidRPr="00263EFE">
        <w:rPr>
          <w:bCs/>
        </w:rPr>
        <w:t xml:space="preserve">kui ka </w:t>
      </w:r>
      <w:r w:rsidR="00AB11F8" w:rsidRPr="00263EFE">
        <w:rPr>
          <w:bCs/>
        </w:rPr>
        <w:t>nihutusruumi.</w:t>
      </w:r>
      <w:r w:rsidR="00681B22">
        <w:rPr>
          <w:bCs/>
        </w:rPr>
        <w:t xml:space="preserve"> T</w:t>
      </w:r>
      <w:r w:rsidR="00A7365B">
        <w:rPr>
          <w:bCs/>
        </w:rPr>
        <w:t>änaseks</w:t>
      </w:r>
      <w:r w:rsidR="00681B22">
        <w:rPr>
          <w:bCs/>
        </w:rPr>
        <w:t xml:space="preserve"> on aga</w:t>
      </w:r>
      <w:r w:rsidR="00A7365B">
        <w:rPr>
          <w:bCs/>
        </w:rPr>
        <w:t xml:space="preserve"> selgunud, et</w:t>
      </w:r>
      <w:r w:rsidR="00AB11F8" w:rsidRPr="00263EFE">
        <w:rPr>
          <w:bCs/>
        </w:rPr>
        <w:t xml:space="preserve"> tegelik raudtee maavajadus </w:t>
      </w:r>
      <w:r w:rsidR="00681B22" w:rsidRPr="00DC7E30">
        <w:rPr>
          <w:bCs/>
        </w:rPr>
        <w:t>ehitusprojekti</w:t>
      </w:r>
      <w:r w:rsidR="00681B22">
        <w:rPr>
          <w:bCs/>
        </w:rPr>
        <w:t xml:space="preserve"> järgi</w:t>
      </w:r>
      <w:r w:rsidR="00681B22" w:rsidRPr="00263EFE">
        <w:rPr>
          <w:bCs/>
        </w:rPr>
        <w:t xml:space="preserve"> </w:t>
      </w:r>
      <w:r w:rsidR="00AB11F8" w:rsidRPr="00263EFE">
        <w:rPr>
          <w:bCs/>
        </w:rPr>
        <w:t>on 66 m</w:t>
      </w:r>
      <w:r w:rsidR="00C842AB">
        <w:rPr>
          <w:bCs/>
        </w:rPr>
        <w:t>eetrit</w:t>
      </w:r>
      <w:r w:rsidR="00AB11F8" w:rsidRPr="00263EFE">
        <w:rPr>
          <w:bCs/>
        </w:rPr>
        <w:t>.</w:t>
      </w:r>
      <w:r w:rsidR="00C842AB">
        <w:rPr>
          <w:bCs/>
        </w:rPr>
        <w:t xml:space="preserve"> Seega leevendatakse m</w:t>
      </w:r>
      <w:r>
        <w:rPr>
          <w:bCs/>
        </w:rPr>
        <w:t xml:space="preserve">uudatusega toetuse taotlemise tingimusi ja lubatakse toetusega rahastatavaid tegevusi ellu viia </w:t>
      </w:r>
      <w:r w:rsidRPr="00993774">
        <w:rPr>
          <w:bCs/>
        </w:rPr>
        <w:t>maakonnaplaneeringu</w:t>
      </w:r>
      <w:r>
        <w:rPr>
          <w:bCs/>
        </w:rPr>
        <w:t>s määratud R</w:t>
      </w:r>
      <w:r w:rsidRPr="00865F21">
        <w:rPr>
          <w:bCs/>
        </w:rPr>
        <w:t>ail Baltic</w:t>
      </w:r>
      <w:r w:rsidR="00AB11F8">
        <w:rPr>
          <w:bCs/>
        </w:rPr>
        <w:t>u</w:t>
      </w:r>
      <w:r w:rsidRPr="00865F21">
        <w:rPr>
          <w:bCs/>
        </w:rPr>
        <w:t xml:space="preserve"> </w:t>
      </w:r>
      <w:r w:rsidRPr="00263EFE">
        <w:rPr>
          <w:bCs/>
        </w:rPr>
        <w:t xml:space="preserve">raudtee trassi koridori asukohas, kui Tarbijakaitse ja Tehnilise Järelevalve Amet (edaspidi </w:t>
      </w:r>
      <w:r w:rsidRPr="00263EFE">
        <w:rPr>
          <w:bCs/>
          <w:i/>
        </w:rPr>
        <w:t>TTJA</w:t>
      </w:r>
      <w:r w:rsidRPr="00263EFE">
        <w:rPr>
          <w:bCs/>
        </w:rPr>
        <w:t xml:space="preserve">) </w:t>
      </w:r>
      <w:r w:rsidR="00681B22">
        <w:rPr>
          <w:bCs/>
        </w:rPr>
        <w:t xml:space="preserve">on </w:t>
      </w:r>
      <w:r w:rsidRPr="00263EFE">
        <w:rPr>
          <w:bCs/>
        </w:rPr>
        <w:t>väljasta</w:t>
      </w:r>
      <w:r w:rsidR="00681B22">
        <w:rPr>
          <w:bCs/>
        </w:rPr>
        <w:t>nud</w:t>
      </w:r>
      <w:r w:rsidRPr="00263EFE">
        <w:rPr>
          <w:bCs/>
        </w:rPr>
        <w:t xml:space="preserve"> ehitusloa</w:t>
      </w:r>
      <w:r w:rsidR="00681B22">
        <w:rPr>
          <w:bCs/>
        </w:rPr>
        <w:t>, mille</w:t>
      </w:r>
      <w:r w:rsidRPr="00263EFE">
        <w:rPr>
          <w:bCs/>
        </w:rPr>
        <w:t xml:space="preserve"> alusel nähtub, et </w:t>
      </w:r>
      <w:r w:rsidR="00C842AB" w:rsidRPr="00263EFE">
        <w:rPr>
          <w:bCs/>
        </w:rPr>
        <w:t>metsa</w:t>
      </w:r>
      <w:r w:rsidR="00AB11F8" w:rsidRPr="00263EFE">
        <w:rPr>
          <w:bCs/>
        </w:rPr>
        <w:t xml:space="preserve">maa või </w:t>
      </w:r>
      <w:r w:rsidRPr="00263EFE">
        <w:rPr>
          <w:bCs/>
        </w:rPr>
        <w:t>toetatava tegevuse elluviimi</w:t>
      </w:r>
      <w:r w:rsidR="00C842AB" w:rsidRPr="00263EFE">
        <w:rPr>
          <w:bCs/>
        </w:rPr>
        <w:t>se maa-ala</w:t>
      </w:r>
      <w:r w:rsidRPr="00263EFE">
        <w:rPr>
          <w:bCs/>
        </w:rPr>
        <w:t xml:space="preserve"> ei jää konkreetselt </w:t>
      </w:r>
      <w:r w:rsidR="00AB11F8" w:rsidRPr="00263EFE">
        <w:rPr>
          <w:bCs/>
        </w:rPr>
        <w:t xml:space="preserve">Rail Balticu </w:t>
      </w:r>
      <w:r w:rsidRPr="00263EFE">
        <w:rPr>
          <w:bCs/>
        </w:rPr>
        <w:t>raudtee</w:t>
      </w:r>
      <w:r w:rsidR="00AB11F8" w:rsidRPr="00263EFE">
        <w:rPr>
          <w:bCs/>
        </w:rPr>
        <w:t>maa</w:t>
      </w:r>
      <w:r w:rsidRPr="00263EFE">
        <w:rPr>
          <w:bCs/>
        </w:rPr>
        <w:t xml:space="preserve"> tegelikku asukohta</w:t>
      </w:r>
      <w:r w:rsidR="00AB11F8" w:rsidRPr="00263EFE">
        <w:rPr>
          <w:bCs/>
        </w:rPr>
        <w:t>, mis on koos rajatistega</w:t>
      </w:r>
      <w:r w:rsidR="009E4AFE">
        <w:rPr>
          <w:bCs/>
        </w:rPr>
        <w:t xml:space="preserve"> jms</w:t>
      </w:r>
      <w:r w:rsidR="00AB11F8" w:rsidRPr="00263EFE">
        <w:rPr>
          <w:bCs/>
        </w:rPr>
        <w:t xml:space="preserve"> kokku </w:t>
      </w:r>
      <w:r w:rsidR="00752271">
        <w:rPr>
          <w:bCs/>
        </w:rPr>
        <w:t xml:space="preserve">umbes </w:t>
      </w:r>
      <w:r w:rsidR="00AB11F8" w:rsidRPr="00263EFE">
        <w:rPr>
          <w:bCs/>
        </w:rPr>
        <w:t>30</w:t>
      </w:r>
      <w:r w:rsidR="00752271" w:rsidRPr="0055505D">
        <w:rPr>
          <w:bCs/>
        </w:rPr>
        <w:t>–</w:t>
      </w:r>
      <w:r w:rsidR="00AB11F8" w:rsidRPr="00263EFE">
        <w:rPr>
          <w:bCs/>
        </w:rPr>
        <w:t>40 meetrit.</w:t>
      </w:r>
      <w:r w:rsidRPr="00263EFE">
        <w:rPr>
          <w:bCs/>
        </w:rPr>
        <w:t xml:space="preserve"> </w:t>
      </w:r>
      <w:r w:rsidR="00AB11F8" w:rsidRPr="00263EFE">
        <w:rPr>
          <w:bCs/>
        </w:rPr>
        <w:t>R</w:t>
      </w:r>
      <w:r w:rsidRPr="00263EFE">
        <w:rPr>
          <w:bCs/>
        </w:rPr>
        <w:t xml:space="preserve">audteeseaduse </w:t>
      </w:r>
      <w:r w:rsidR="00AB11F8" w:rsidRPr="00263EFE">
        <w:rPr>
          <w:bCs/>
        </w:rPr>
        <w:t>§ 2 punkti 23 kohaselt</w:t>
      </w:r>
      <w:r w:rsidR="00C842AB" w:rsidRPr="00263EFE">
        <w:rPr>
          <w:bCs/>
        </w:rPr>
        <w:t xml:space="preserve"> </w:t>
      </w:r>
      <w:r w:rsidR="009E4AFE">
        <w:rPr>
          <w:bCs/>
        </w:rPr>
        <w:t>tuleb</w:t>
      </w:r>
      <w:r w:rsidR="00AB11F8" w:rsidRPr="00263EFE">
        <w:rPr>
          <w:bCs/>
        </w:rPr>
        <w:t xml:space="preserve"> </w:t>
      </w:r>
      <w:r w:rsidRPr="00263EFE">
        <w:rPr>
          <w:bCs/>
        </w:rPr>
        <w:t>raudteemaa</w:t>
      </w:r>
      <w:r w:rsidR="009E4AFE">
        <w:rPr>
          <w:bCs/>
        </w:rPr>
        <w:t xml:space="preserve"> all mõista</w:t>
      </w:r>
      <w:r w:rsidR="00AB11F8" w:rsidRPr="00263EFE">
        <w:rPr>
          <w:bCs/>
        </w:rPr>
        <w:t xml:space="preserve"> </w:t>
      </w:r>
      <w:r w:rsidR="00AB11F8" w:rsidRPr="00263EFE">
        <w:rPr>
          <w:color w:val="202020"/>
          <w:shd w:val="clear" w:color="auto" w:fill="FFFFFF"/>
        </w:rPr>
        <w:t>raudtee ja raudteeinfrastruk</w:t>
      </w:r>
      <w:r w:rsidR="009E4AFE" w:rsidRPr="00263EFE">
        <w:rPr>
          <w:color w:val="202020"/>
          <w:shd w:val="clear" w:color="auto" w:fill="FFFFFF"/>
        </w:rPr>
        <w:t>tuuri hoonete ja rajatiste alust maad</w:t>
      </w:r>
      <w:r w:rsidR="00AB11F8" w:rsidRPr="00263EFE">
        <w:rPr>
          <w:color w:val="202020"/>
          <w:shd w:val="clear" w:color="auto" w:fill="FFFFFF"/>
        </w:rPr>
        <w:t xml:space="preserve"> ning nende teenindamiseks vajalik</w:t>
      </w:r>
      <w:r w:rsidR="009E4AFE">
        <w:rPr>
          <w:color w:val="202020"/>
          <w:shd w:val="clear" w:color="auto" w:fill="FFFFFF"/>
        </w:rPr>
        <w:t>ku</w:t>
      </w:r>
      <w:r w:rsidR="00AB11F8" w:rsidRPr="00263EFE">
        <w:rPr>
          <w:color w:val="202020"/>
          <w:shd w:val="clear" w:color="auto" w:fill="FFFFFF"/>
        </w:rPr>
        <w:t xml:space="preserve"> maa</w:t>
      </w:r>
      <w:r w:rsidR="009E4AFE">
        <w:rPr>
          <w:color w:val="202020"/>
          <w:shd w:val="clear" w:color="auto" w:fill="FFFFFF"/>
        </w:rPr>
        <w:t>d</w:t>
      </w:r>
      <w:r w:rsidRPr="00263EFE">
        <w:rPr>
          <w:bCs/>
        </w:rPr>
        <w:t>.</w:t>
      </w:r>
      <w:r>
        <w:rPr>
          <w:bCs/>
        </w:rPr>
        <w:t xml:space="preserve"> </w:t>
      </w:r>
      <w:r w:rsidRPr="00263EFE">
        <w:rPr>
          <w:bCs/>
        </w:rPr>
        <w:t xml:space="preserve">2021. aastal hakkavad valmima ehitusprojektid, mille alusel selgub </w:t>
      </w:r>
      <w:r w:rsidR="00BF3C4F" w:rsidRPr="00263EFE">
        <w:rPr>
          <w:bCs/>
        </w:rPr>
        <w:t xml:space="preserve">Rail Balticu </w:t>
      </w:r>
      <w:r w:rsidRPr="00263EFE">
        <w:rPr>
          <w:bCs/>
        </w:rPr>
        <w:t xml:space="preserve">raudtee </w:t>
      </w:r>
      <w:r w:rsidR="00681B22">
        <w:rPr>
          <w:bCs/>
        </w:rPr>
        <w:t>täpne</w:t>
      </w:r>
      <w:r w:rsidRPr="00263EFE">
        <w:rPr>
          <w:bCs/>
        </w:rPr>
        <w:t xml:space="preserve"> asukoht. Seetõttu on mõistlik lubada toetust taotleda ka </w:t>
      </w:r>
      <w:r w:rsidR="00095EE0">
        <w:rPr>
          <w:bCs/>
        </w:rPr>
        <w:t xml:space="preserve">tegevuse elluviimiseks </w:t>
      </w:r>
      <w:r w:rsidRPr="00263EFE">
        <w:rPr>
          <w:bCs/>
        </w:rPr>
        <w:t>nihut</w:t>
      </w:r>
      <w:r w:rsidR="00BF3C4F" w:rsidRPr="00263EFE">
        <w:rPr>
          <w:bCs/>
        </w:rPr>
        <w:t>us</w:t>
      </w:r>
      <w:r w:rsidRPr="00263EFE">
        <w:rPr>
          <w:bCs/>
        </w:rPr>
        <w:t xml:space="preserve">ruumi maal ja kaitsevööndis, mis ei jää raudteeseaduse </w:t>
      </w:r>
      <w:r w:rsidR="00BF3C4F" w:rsidRPr="00263EFE">
        <w:rPr>
          <w:bCs/>
        </w:rPr>
        <w:t>§ 2 punkti 23 kohaselt</w:t>
      </w:r>
      <w:r w:rsidRPr="00263EFE">
        <w:rPr>
          <w:bCs/>
        </w:rPr>
        <w:t xml:space="preserve"> raudteemaale</w:t>
      </w:r>
      <w:r w:rsidR="00C249C6">
        <w:rPr>
          <w:bCs/>
        </w:rPr>
        <w:t>,</w:t>
      </w:r>
      <w:r w:rsidRPr="00263EFE">
        <w:rPr>
          <w:bCs/>
        </w:rPr>
        <w:t xml:space="preserve"> kui TTJA väljastatud ehitusloas</w:t>
      </w:r>
      <w:r w:rsidR="00C249C6">
        <w:rPr>
          <w:bCs/>
        </w:rPr>
        <w:t>t</w:t>
      </w:r>
      <w:r w:rsidRPr="00263EFE">
        <w:rPr>
          <w:bCs/>
        </w:rPr>
        <w:t xml:space="preserve"> nähtub, et toetatavad tegevused ei jää </w:t>
      </w:r>
      <w:r w:rsidR="00BF3C4F" w:rsidRPr="00263EFE">
        <w:rPr>
          <w:bCs/>
        </w:rPr>
        <w:t xml:space="preserve">sellele </w:t>
      </w:r>
      <w:r w:rsidRPr="00263EFE">
        <w:rPr>
          <w:bCs/>
        </w:rPr>
        <w:t xml:space="preserve">raudteemaale. Oluline on, et toetuse </w:t>
      </w:r>
      <w:r w:rsidR="00427A4E">
        <w:rPr>
          <w:bCs/>
        </w:rPr>
        <w:t>saajal</w:t>
      </w:r>
      <w:r w:rsidRPr="00263EFE">
        <w:rPr>
          <w:bCs/>
        </w:rPr>
        <w:t xml:space="preserve"> oleks võimalik täita toetusega võetud kohustus</w:t>
      </w:r>
      <w:r w:rsidR="00427A4E">
        <w:rPr>
          <w:bCs/>
        </w:rPr>
        <w:t>ed</w:t>
      </w:r>
      <w:r w:rsidRPr="00263EFE">
        <w:rPr>
          <w:bCs/>
        </w:rPr>
        <w:t xml:space="preserve"> </w:t>
      </w:r>
      <w:r w:rsidR="00427A4E" w:rsidRPr="00263EFE">
        <w:rPr>
          <w:bCs/>
        </w:rPr>
        <w:t>ning</w:t>
      </w:r>
      <w:r w:rsidRPr="00263EFE">
        <w:rPr>
          <w:bCs/>
        </w:rPr>
        <w:t xml:space="preserve"> säilitada </w:t>
      </w:r>
      <w:r w:rsidR="00427A4E" w:rsidRPr="00263EFE">
        <w:rPr>
          <w:bCs/>
        </w:rPr>
        <w:t>ja</w:t>
      </w:r>
      <w:r w:rsidRPr="00263EFE">
        <w:rPr>
          <w:bCs/>
        </w:rPr>
        <w:t xml:space="preserve"> kasutada investeeringuobjekti </w:t>
      </w:r>
      <w:r w:rsidR="00427A4E" w:rsidRPr="00263EFE">
        <w:rPr>
          <w:bCs/>
        </w:rPr>
        <w:t xml:space="preserve">sihtotstarbeliselt </w:t>
      </w:r>
      <w:r w:rsidRPr="00263EFE">
        <w:rPr>
          <w:bCs/>
        </w:rPr>
        <w:t xml:space="preserve">vähemalt </w:t>
      </w:r>
      <w:r w:rsidR="00B01F0D" w:rsidRPr="00263EFE">
        <w:rPr>
          <w:bCs/>
        </w:rPr>
        <w:t>viis</w:t>
      </w:r>
      <w:r w:rsidRPr="00263EFE">
        <w:rPr>
          <w:bCs/>
        </w:rPr>
        <w:t xml:space="preserve"> aastat</w:t>
      </w:r>
      <w:r w:rsidR="00427A4E" w:rsidRPr="00263EFE">
        <w:rPr>
          <w:bCs/>
        </w:rPr>
        <w:t xml:space="preserve"> arvates </w:t>
      </w:r>
      <w:r w:rsidR="00427A4E" w:rsidRPr="00263EFE">
        <w:rPr>
          <w:shd w:val="clear" w:color="auto" w:fill="FFFFFF"/>
        </w:rPr>
        <w:t>PRIA poolt viimase toetusosa väljamaksmisest</w:t>
      </w:r>
      <w:r w:rsidR="00427A4E">
        <w:rPr>
          <w:shd w:val="clear" w:color="auto" w:fill="FFFFFF"/>
        </w:rPr>
        <w:t xml:space="preserve"> (määruse nr 59 § 19 lõige 1 ja lõi</w:t>
      </w:r>
      <w:r w:rsidR="00C249C6">
        <w:rPr>
          <w:shd w:val="clear" w:color="auto" w:fill="FFFFFF"/>
        </w:rPr>
        <w:t>k</w:t>
      </w:r>
      <w:r w:rsidR="00427A4E">
        <w:rPr>
          <w:shd w:val="clear" w:color="auto" w:fill="FFFFFF"/>
        </w:rPr>
        <w:t>e 2 punkt 3</w:t>
      </w:r>
      <w:r w:rsidR="00D36C4B">
        <w:rPr>
          <w:shd w:val="clear" w:color="auto" w:fill="FFFFFF"/>
        </w:rPr>
        <w:t xml:space="preserve"> ning</w:t>
      </w:r>
      <w:r w:rsidR="00427A4E">
        <w:rPr>
          <w:shd w:val="clear" w:color="auto" w:fill="FFFFFF"/>
        </w:rPr>
        <w:t xml:space="preserve"> määruse nr 76 § 19)</w:t>
      </w:r>
      <w:r w:rsidRPr="00263EFE">
        <w:rPr>
          <w:bCs/>
        </w:rPr>
        <w:t>.</w:t>
      </w:r>
      <w:r w:rsidR="00D954E2">
        <w:rPr>
          <w:bCs/>
        </w:rPr>
        <w:t xml:space="preserve"> </w:t>
      </w:r>
      <w:r w:rsidR="00D954E2" w:rsidRPr="000C7258">
        <w:rPr>
          <w:bCs/>
        </w:rPr>
        <w:t>See tähendab, et</w:t>
      </w:r>
      <w:r w:rsidR="000C7258" w:rsidRPr="000C7258">
        <w:rPr>
          <w:bCs/>
        </w:rPr>
        <w:t xml:space="preserve"> </w:t>
      </w:r>
      <w:r w:rsidR="000C7258">
        <w:rPr>
          <w:bCs/>
        </w:rPr>
        <w:t xml:space="preserve">taotleja peab </w:t>
      </w:r>
      <w:r w:rsidR="000C7258" w:rsidRPr="000C7258">
        <w:rPr>
          <w:shd w:val="clear" w:color="auto" w:fill="FFFFFF"/>
        </w:rPr>
        <w:t>kokku leppima ehitajaga ehitusmaterjali ja –masinate paiknemise jms</w:t>
      </w:r>
      <w:r w:rsidR="000C7258">
        <w:rPr>
          <w:shd w:val="clear" w:color="auto" w:fill="FFFFFF"/>
        </w:rPr>
        <w:t xml:space="preserve"> selliselt</w:t>
      </w:r>
      <w:r w:rsidR="000C7258" w:rsidRPr="000C7258">
        <w:rPr>
          <w:shd w:val="clear" w:color="auto" w:fill="FFFFFF"/>
        </w:rPr>
        <w:t xml:space="preserve">, et tal oleks võimalik täita toetusega võetud </w:t>
      </w:r>
      <w:r w:rsidR="000C7258">
        <w:rPr>
          <w:shd w:val="clear" w:color="auto" w:fill="FFFFFF"/>
        </w:rPr>
        <w:t xml:space="preserve">kõiki </w:t>
      </w:r>
      <w:r w:rsidR="000C7258" w:rsidRPr="000C7258">
        <w:rPr>
          <w:shd w:val="clear" w:color="auto" w:fill="FFFFFF"/>
        </w:rPr>
        <w:t xml:space="preserve">kohustusi. </w:t>
      </w:r>
      <w:r w:rsidR="004B114D" w:rsidRPr="000C7258">
        <w:rPr>
          <w:bCs/>
        </w:rPr>
        <w:t>Lisaks</w:t>
      </w:r>
      <w:r w:rsidRPr="000C7258">
        <w:rPr>
          <w:bCs/>
        </w:rPr>
        <w:t xml:space="preserve"> peab taotleja</w:t>
      </w:r>
      <w:r w:rsidR="00681B22" w:rsidRPr="000C7258">
        <w:rPr>
          <w:bCs/>
        </w:rPr>
        <w:t xml:space="preserve"> </w:t>
      </w:r>
      <w:r w:rsidR="00C249C6" w:rsidRPr="000C7258">
        <w:t>sellise</w:t>
      </w:r>
      <w:r w:rsidR="00095EE0" w:rsidRPr="000C7258">
        <w:t>l</w:t>
      </w:r>
      <w:r w:rsidR="00C249C6" w:rsidRPr="000C7258">
        <w:t xml:space="preserve"> maa-ala</w:t>
      </w:r>
      <w:r w:rsidR="00095EE0" w:rsidRPr="000C7258">
        <w:t>l</w:t>
      </w:r>
      <w:r w:rsidR="00C249C6" w:rsidRPr="000C7258">
        <w:t xml:space="preserve"> </w:t>
      </w:r>
      <w:r w:rsidR="00095EE0" w:rsidRPr="000C7258">
        <w:t>tegevuse elluviimiseks</w:t>
      </w:r>
      <w:r w:rsidR="00C249C6" w:rsidRPr="000C7258">
        <w:t xml:space="preserve"> toetuse</w:t>
      </w:r>
      <w:r w:rsidR="00C249C6" w:rsidRPr="000C7258" w:rsidDel="00C249C6">
        <w:rPr>
          <w:bCs/>
        </w:rPr>
        <w:t xml:space="preserve"> </w:t>
      </w:r>
      <w:r w:rsidR="00681B22" w:rsidRPr="000C7258">
        <w:rPr>
          <w:bCs/>
        </w:rPr>
        <w:t>taotlemise puhul</w:t>
      </w:r>
      <w:r w:rsidRPr="000C7258">
        <w:rPr>
          <w:bCs/>
        </w:rPr>
        <w:t xml:space="preserve"> arvestama ehitusseadus</w:t>
      </w:r>
      <w:r w:rsidR="009C416A" w:rsidRPr="000C7258">
        <w:rPr>
          <w:bCs/>
        </w:rPr>
        <w:t>tiku</w:t>
      </w:r>
      <w:r w:rsidRPr="000C7258">
        <w:rPr>
          <w:bCs/>
        </w:rPr>
        <w:t xml:space="preserve"> §</w:t>
      </w:r>
      <w:r w:rsidR="00C249C6" w:rsidRPr="000C7258">
        <w:rPr>
          <w:bCs/>
        </w:rPr>
        <w:t>-s </w:t>
      </w:r>
      <w:r w:rsidRPr="000C7258">
        <w:rPr>
          <w:bCs/>
        </w:rPr>
        <w:t xml:space="preserve">73 </w:t>
      </w:r>
      <w:r w:rsidR="00B01F0D" w:rsidRPr="000C7258">
        <w:rPr>
          <w:bCs/>
        </w:rPr>
        <w:t xml:space="preserve">sätestatud </w:t>
      </w:r>
      <w:r w:rsidRPr="000C7258">
        <w:rPr>
          <w:bCs/>
        </w:rPr>
        <w:t xml:space="preserve">raudtee kaitsevööndi </w:t>
      </w:r>
      <w:r w:rsidRPr="00263EFE">
        <w:rPr>
          <w:bCs/>
        </w:rPr>
        <w:t>nõuetega. Rail Baltic</w:t>
      </w:r>
      <w:r w:rsidR="00B01F0D" w:rsidRPr="00263EFE">
        <w:rPr>
          <w:bCs/>
        </w:rPr>
        <w:t>u</w:t>
      </w:r>
      <w:r w:rsidRPr="00263EFE">
        <w:rPr>
          <w:bCs/>
        </w:rPr>
        <w:t xml:space="preserve"> alla jääva raudteemaa omanikuks saab riik. Raudteemaale toetusõiguslik ala ei laiene. Raudtee kaitsevööndit riik täies ulatuses ei omanda. Riik omandab kaitsevööndi alast nii palju, kui on tarvis raudtee ja seda teenindavate rajatiste (nt raudteega paralleelselt kulgeva hooldustee) ehitamiseks. See tähendab, et osa kaitsevööndi maast </w:t>
      </w:r>
      <w:r w:rsidR="00460DD6">
        <w:rPr>
          <w:bCs/>
        </w:rPr>
        <w:t>kuulub</w:t>
      </w:r>
      <w:r w:rsidRPr="00263EFE">
        <w:rPr>
          <w:bCs/>
        </w:rPr>
        <w:t xml:space="preserve"> eraomanike omand</w:t>
      </w:r>
      <w:r w:rsidR="009C416A">
        <w:rPr>
          <w:bCs/>
        </w:rPr>
        <w:t>i</w:t>
      </w:r>
      <w:r w:rsidRPr="00263EFE">
        <w:rPr>
          <w:bCs/>
        </w:rPr>
        <w:t>sse. Kaitsevööndisse jääva</w:t>
      </w:r>
      <w:r w:rsidR="00095EE0">
        <w:rPr>
          <w:bCs/>
        </w:rPr>
        <w:t>l</w:t>
      </w:r>
      <w:r w:rsidRPr="00263EFE">
        <w:rPr>
          <w:bCs/>
        </w:rPr>
        <w:t xml:space="preserve"> eraomandis</w:t>
      </w:r>
      <w:r w:rsidR="00BC1E57">
        <w:rPr>
          <w:bCs/>
        </w:rPr>
        <w:t xml:space="preserve"> maal (nt</w:t>
      </w:r>
      <w:r w:rsidRPr="00263EFE">
        <w:rPr>
          <w:bCs/>
        </w:rPr>
        <w:t xml:space="preserve"> maatulundusmaa</w:t>
      </w:r>
      <w:r w:rsidR="00095EE0">
        <w:rPr>
          <w:bCs/>
        </w:rPr>
        <w:t>l</w:t>
      </w:r>
      <w:r w:rsidR="00BC1E57">
        <w:rPr>
          <w:bCs/>
        </w:rPr>
        <w:t>)</w:t>
      </w:r>
      <w:r w:rsidR="00095EE0">
        <w:rPr>
          <w:bCs/>
        </w:rPr>
        <w:t xml:space="preserve"> tegevuse elluviimiseks</w:t>
      </w:r>
      <w:r w:rsidRPr="00263EFE">
        <w:rPr>
          <w:bCs/>
        </w:rPr>
        <w:t xml:space="preserve"> saab taotleda toetust juhul, kui toetuse saaja järgib lisaks toetuse saamise tingimustele, nagu toetuse sihipärane kasutus, ka ehitusseadustiku §-s 73 sätestatud kitsendusi. Raudtee kaitsevööndis on keelatud ohustada liiklust ja takistada nähtavust raudteel. </w:t>
      </w:r>
      <w:r w:rsidR="00D36C4B" w:rsidRPr="00263EFE">
        <w:rPr>
          <w:color w:val="202020"/>
          <w:shd w:val="clear" w:color="auto" w:fill="FFFFFF"/>
        </w:rPr>
        <w:t xml:space="preserve">Raudtee kaitsevöönd hõlmab raudteealuse maa ning ulatub rööpme teljest, mitmeteelistel raudteedel ja jaamades äärmise rööpme teljest 30 meetri kaugusele. </w:t>
      </w:r>
      <w:r w:rsidRPr="00263EFE">
        <w:rPr>
          <w:bCs/>
        </w:rPr>
        <w:t xml:space="preserve">Raudtee kaitsevööndis on teatud tegevuste </w:t>
      </w:r>
      <w:r w:rsidR="00095EE0">
        <w:rPr>
          <w:bCs/>
        </w:rPr>
        <w:t>ellu</w:t>
      </w:r>
      <w:r w:rsidRPr="00263EFE">
        <w:rPr>
          <w:bCs/>
        </w:rPr>
        <w:t>viimiseks vajalik raudtee omaniku ja TTJA luba, näiteks kui rajatakse maaparandussüsteem, kaevandatakse maavara, tehakse kaevetöid,</w:t>
      </w:r>
      <w:r w:rsidR="00D36C4B">
        <w:rPr>
          <w:bCs/>
        </w:rPr>
        <w:t xml:space="preserve"> </w:t>
      </w:r>
      <w:r w:rsidRPr="00263EFE">
        <w:rPr>
          <w:bCs/>
        </w:rPr>
        <w:t>uuendusraiet ja muid looduskeskkonda muutvaid töid, ladustatakse või paigaldatakse seadmeid ja materjale, püstitatakse ehitisi või toodetakse ja ladustatakse kergestisüttivaid aineid ja lõhkematerjali.</w:t>
      </w:r>
      <w:r w:rsidR="005E0DD7">
        <w:rPr>
          <w:bCs/>
        </w:rPr>
        <w:t xml:space="preserve"> </w:t>
      </w:r>
    </w:p>
    <w:p w14:paraId="1C326E36" w14:textId="77777777" w:rsidR="005E0DD7" w:rsidRDefault="005E0DD7">
      <w:pPr>
        <w:jc w:val="both"/>
      </w:pPr>
    </w:p>
    <w:p w14:paraId="4ADAED26" w14:textId="4BFF8C33" w:rsidR="005E0DD7" w:rsidRDefault="00D36C4B">
      <w:pPr>
        <w:jc w:val="both"/>
        <w:rPr>
          <w:bCs/>
        </w:rPr>
      </w:pPr>
      <w:r>
        <w:rPr>
          <w:noProof/>
          <w:lang w:eastAsia="et-EE"/>
        </w:rPr>
        <w:drawing>
          <wp:inline distT="0" distB="0" distL="0" distR="0" wp14:anchorId="79627EA9" wp14:editId="44E93B8A">
            <wp:extent cx="6264910" cy="300787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4859" cy="3012647"/>
                    </a:xfrm>
                    <a:prstGeom prst="rect">
                      <a:avLst/>
                    </a:prstGeom>
                  </pic:spPr>
                </pic:pic>
              </a:graphicData>
            </a:graphic>
          </wp:inline>
        </w:drawing>
      </w:r>
    </w:p>
    <w:p w14:paraId="2114AC1E" w14:textId="77777777" w:rsidR="009302E1" w:rsidRPr="00263EFE" w:rsidRDefault="009302E1" w:rsidP="009302E1">
      <w:pPr>
        <w:jc w:val="both"/>
        <w:rPr>
          <w:bCs/>
        </w:rPr>
      </w:pPr>
      <w:r>
        <w:t xml:space="preserve">Joonis. </w:t>
      </w:r>
      <w:r w:rsidRPr="009302E1">
        <w:rPr>
          <w:b/>
        </w:rPr>
        <w:t>Kitsam Rail Balticu trassikoridori ala</w:t>
      </w:r>
      <w:r>
        <w:rPr>
          <w:rStyle w:val="FootnoteReference"/>
        </w:rPr>
        <w:footnoteReference w:id="2"/>
      </w:r>
    </w:p>
    <w:p w14:paraId="12F7E686" w14:textId="77777777" w:rsidR="004B114D" w:rsidRDefault="004B114D">
      <w:pPr>
        <w:jc w:val="both"/>
        <w:rPr>
          <w:b/>
          <w:bCs/>
        </w:rPr>
      </w:pPr>
    </w:p>
    <w:p w14:paraId="397EAC92" w14:textId="77777777" w:rsidR="008F359F" w:rsidRDefault="008F359F">
      <w:pPr>
        <w:jc w:val="both"/>
        <w:rPr>
          <w:b/>
          <w:bCs/>
        </w:rPr>
      </w:pPr>
    </w:p>
    <w:p w14:paraId="4CAA29C3" w14:textId="487C92F7" w:rsidR="007D3301" w:rsidRDefault="005F6C02">
      <w:pPr>
        <w:jc w:val="both"/>
        <w:rPr>
          <w:b/>
          <w:bCs/>
        </w:rPr>
      </w:pPr>
      <w:r w:rsidRPr="00104D85">
        <w:rPr>
          <w:b/>
          <w:bCs/>
        </w:rPr>
        <w:t xml:space="preserve">Eelnõu </w:t>
      </w:r>
      <w:r w:rsidR="00E63798">
        <w:rPr>
          <w:b/>
          <w:bCs/>
        </w:rPr>
        <w:t xml:space="preserve">§ </w:t>
      </w:r>
      <w:r w:rsidR="00692629">
        <w:rPr>
          <w:b/>
          <w:bCs/>
        </w:rPr>
        <w:t>2</w:t>
      </w:r>
      <w:r w:rsidR="00E63798">
        <w:rPr>
          <w:b/>
          <w:bCs/>
        </w:rPr>
        <w:t xml:space="preserve"> </w:t>
      </w:r>
      <w:r w:rsidRPr="00104D85">
        <w:rPr>
          <w:b/>
          <w:bCs/>
        </w:rPr>
        <w:t>punkti</w:t>
      </w:r>
      <w:r>
        <w:rPr>
          <w:b/>
          <w:bCs/>
        </w:rPr>
        <w:t>ga</w:t>
      </w:r>
      <w:r w:rsidRPr="00104D85">
        <w:rPr>
          <w:b/>
          <w:bCs/>
        </w:rPr>
        <w:t xml:space="preserve"> 1</w:t>
      </w:r>
      <w:r>
        <w:rPr>
          <w:b/>
          <w:bCs/>
        </w:rPr>
        <w:t xml:space="preserve"> </w:t>
      </w:r>
      <w:r w:rsidR="008D6E89">
        <w:rPr>
          <w:b/>
          <w:bCs/>
        </w:rPr>
        <w:t>ning</w:t>
      </w:r>
      <w:r w:rsidR="007F2B74">
        <w:rPr>
          <w:b/>
          <w:bCs/>
        </w:rPr>
        <w:t xml:space="preserve"> § 3 punktiga 4 </w:t>
      </w:r>
      <w:r w:rsidR="00332EC4" w:rsidRPr="00E97565">
        <w:rPr>
          <w:bCs/>
        </w:rPr>
        <w:t>muudetakse määruse</w:t>
      </w:r>
      <w:r w:rsidR="007F2E85">
        <w:rPr>
          <w:bCs/>
        </w:rPr>
        <w:t xml:space="preserve"> nr 76</w:t>
      </w:r>
      <w:r w:rsidR="00332EC4" w:rsidRPr="00E97565">
        <w:rPr>
          <w:bCs/>
        </w:rPr>
        <w:t xml:space="preserve"> § </w:t>
      </w:r>
      <w:r w:rsidR="00332EC4">
        <w:t>5</w:t>
      </w:r>
      <w:r w:rsidR="00332EC4" w:rsidRPr="00F93B15">
        <w:t xml:space="preserve"> lõi</w:t>
      </w:r>
      <w:r w:rsidR="00082B5F">
        <w:t>k</w:t>
      </w:r>
      <w:r w:rsidR="00332EC4" w:rsidRPr="00F93B15">
        <w:t xml:space="preserve">e </w:t>
      </w:r>
      <w:r w:rsidR="00332EC4">
        <w:t>4 punkt</w:t>
      </w:r>
      <w:r w:rsidR="00082B5F">
        <w:t>i</w:t>
      </w:r>
      <w:r w:rsidR="00332EC4">
        <w:t xml:space="preserve"> 1</w:t>
      </w:r>
      <w:r w:rsidR="007F2B74">
        <w:t xml:space="preserve"> ja </w:t>
      </w:r>
      <w:r w:rsidR="007F2B74" w:rsidRPr="00E97565">
        <w:rPr>
          <w:bCs/>
        </w:rPr>
        <w:t xml:space="preserve">määruse </w:t>
      </w:r>
      <w:r w:rsidR="007F2B74">
        <w:t xml:space="preserve">nr 26 </w:t>
      </w:r>
      <w:r w:rsidR="007F2B74" w:rsidRPr="00E97565">
        <w:rPr>
          <w:bCs/>
        </w:rPr>
        <w:t xml:space="preserve">§ </w:t>
      </w:r>
      <w:r w:rsidR="007F2B74" w:rsidRPr="00D70A60">
        <w:rPr>
          <w:bCs/>
        </w:rPr>
        <w:t>4</w:t>
      </w:r>
      <w:r w:rsidR="007F2B74" w:rsidRPr="00E97565">
        <w:rPr>
          <w:bCs/>
        </w:rPr>
        <w:t xml:space="preserve"> lõike </w:t>
      </w:r>
      <w:r w:rsidR="007F2B74" w:rsidRPr="00D70A60">
        <w:rPr>
          <w:bCs/>
        </w:rPr>
        <w:t>2</w:t>
      </w:r>
      <w:r w:rsidR="007F2B74" w:rsidRPr="00E97565">
        <w:rPr>
          <w:bCs/>
        </w:rPr>
        <w:t xml:space="preserve"> sõnastus</w:t>
      </w:r>
      <w:r w:rsidR="00850D9E">
        <w:rPr>
          <w:bCs/>
        </w:rPr>
        <w:t>t</w:t>
      </w:r>
      <w:r w:rsidR="00F5469C">
        <w:t>.</w:t>
      </w:r>
      <w:r w:rsidR="00332EC4" w:rsidRPr="00D70A60">
        <w:rPr>
          <w:bCs/>
        </w:rPr>
        <w:t xml:space="preserve"> </w:t>
      </w:r>
      <w:r w:rsidR="00332EC4">
        <w:rPr>
          <w:bCs/>
        </w:rPr>
        <w:t>Kehtiva</w:t>
      </w:r>
      <w:r w:rsidR="007F2B74">
        <w:rPr>
          <w:bCs/>
        </w:rPr>
        <w:t xml:space="preserve">te nimetatud </w:t>
      </w:r>
      <w:r w:rsidR="00332EC4">
        <w:rPr>
          <w:bCs/>
        </w:rPr>
        <w:t>määrus</w:t>
      </w:r>
      <w:r w:rsidR="007F2B74">
        <w:rPr>
          <w:bCs/>
        </w:rPr>
        <w:t>t</w:t>
      </w:r>
      <w:r w:rsidR="00332EC4">
        <w:rPr>
          <w:bCs/>
        </w:rPr>
        <w:t>e</w:t>
      </w:r>
      <w:r w:rsidR="00F5469C">
        <w:rPr>
          <w:bCs/>
        </w:rPr>
        <w:t xml:space="preserve"> kohaselt on </w:t>
      </w:r>
      <w:r w:rsidR="00332EC4" w:rsidRPr="007875DD">
        <w:t>projekteerimis- ja uurimistöö, keskkonnamõju hindamisega se</w:t>
      </w:r>
      <w:r w:rsidR="00332EC4">
        <w:t>otud tegevused</w:t>
      </w:r>
      <w:r w:rsidR="00692629">
        <w:t xml:space="preserve"> jms</w:t>
      </w:r>
      <w:r w:rsidR="00F5469C">
        <w:t xml:space="preserve"> </w:t>
      </w:r>
      <w:r w:rsidR="0025189F">
        <w:t>toetatava tegevuse osaks</w:t>
      </w:r>
      <w:r w:rsidR="00332EC4">
        <w:t xml:space="preserve">, kui selle vajaduse näeb ette </w:t>
      </w:r>
      <w:r w:rsidR="00692629">
        <w:t>ehitus</w:t>
      </w:r>
      <w:r w:rsidR="00332EC4" w:rsidRPr="007875DD">
        <w:t xml:space="preserve">loa andja </w:t>
      </w:r>
      <w:r w:rsidR="00332EC4">
        <w:t xml:space="preserve">oma projekteerimistingimuste andmise otsusega. Samas võib nimetatud tööde vajadus </w:t>
      </w:r>
      <w:r w:rsidR="00332EC4" w:rsidRPr="00F12C87">
        <w:t>te</w:t>
      </w:r>
      <w:r w:rsidR="00332EC4">
        <w:t>k</w:t>
      </w:r>
      <w:r w:rsidR="00332EC4" w:rsidRPr="00F12C87">
        <w:t>ki</w:t>
      </w:r>
      <w:r w:rsidR="00332EC4">
        <w:t>da</w:t>
      </w:r>
      <w:r w:rsidR="00332EC4" w:rsidRPr="00F12C87">
        <w:t xml:space="preserve"> </w:t>
      </w:r>
      <w:r w:rsidR="00332EC4">
        <w:t>ka hilisemas faasis, s</w:t>
      </w:r>
      <w:r w:rsidR="007F2B74">
        <w:t>.</w:t>
      </w:r>
      <w:r w:rsidR="00332EC4">
        <w:t xml:space="preserve">o </w:t>
      </w:r>
      <w:r w:rsidR="00332EC4" w:rsidRPr="00F12C87">
        <w:t xml:space="preserve">projekteerimise </w:t>
      </w:r>
      <w:r w:rsidR="00332EC4">
        <w:t xml:space="preserve">või ehitamise </w:t>
      </w:r>
      <w:r w:rsidR="00332EC4" w:rsidRPr="00F12C87">
        <w:t>käigus</w:t>
      </w:r>
      <w:r w:rsidR="00332EC4">
        <w:t>,</w:t>
      </w:r>
      <w:r w:rsidR="00332EC4" w:rsidRPr="00EE3610">
        <w:t xml:space="preserve"> </w:t>
      </w:r>
      <w:r w:rsidR="00692629">
        <w:t>mi</w:t>
      </w:r>
      <w:r w:rsidR="008D6E89">
        <w:t>s</w:t>
      </w:r>
      <w:r w:rsidR="00332EC4">
        <w:t xml:space="preserve">tõttu tehakse muudatus, et </w:t>
      </w:r>
      <w:r w:rsidR="00692629">
        <w:t xml:space="preserve">toetatavad tegevused ning seega ka </w:t>
      </w:r>
      <w:r w:rsidR="00332EC4">
        <w:t>abikõlblikud</w:t>
      </w:r>
      <w:r w:rsidR="007F2B74">
        <w:t xml:space="preserve"> kulud</w:t>
      </w:r>
      <w:r w:rsidR="00332EC4">
        <w:t xml:space="preserve"> oleksid kõik asjakohased tegevuse elluviimisega seotud ettevalmistavad tööd.</w:t>
      </w:r>
    </w:p>
    <w:p w14:paraId="01A3929F" w14:textId="557A4B46" w:rsidR="00692629" w:rsidRPr="00241641" w:rsidRDefault="00692629">
      <w:pPr>
        <w:jc w:val="both"/>
        <w:rPr>
          <w:b/>
          <w:bCs/>
        </w:rPr>
      </w:pPr>
    </w:p>
    <w:p w14:paraId="46B5DC6C" w14:textId="68B83F92" w:rsidR="005F6C02" w:rsidRDefault="00332EC4">
      <w:pPr>
        <w:jc w:val="both"/>
      </w:pPr>
      <w:r w:rsidRPr="00241641">
        <w:rPr>
          <w:b/>
          <w:bCs/>
        </w:rPr>
        <w:t xml:space="preserve">Eelnõu </w:t>
      </w:r>
      <w:r w:rsidR="00E63798" w:rsidRPr="00241641">
        <w:rPr>
          <w:b/>
          <w:bCs/>
        </w:rPr>
        <w:t xml:space="preserve">§ </w:t>
      </w:r>
      <w:r w:rsidR="007C31D9" w:rsidRPr="00241641">
        <w:rPr>
          <w:b/>
          <w:bCs/>
        </w:rPr>
        <w:t>2</w:t>
      </w:r>
      <w:r w:rsidR="00E63798" w:rsidRPr="00241641">
        <w:rPr>
          <w:b/>
          <w:bCs/>
        </w:rPr>
        <w:t xml:space="preserve"> </w:t>
      </w:r>
      <w:r w:rsidRPr="00241641">
        <w:rPr>
          <w:b/>
          <w:bCs/>
        </w:rPr>
        <w:t xml:space="preserve">punktiga 2 </w:t>
      </w:r>
      <w:r w:rsidR="00635068" w:rsidRPr="00241641">
        <w:rPr>
          <w:b/>
          <w:bCs/>
        </w:rPr>
        <w:t xml:space="preserve">ning § 3 punktiga </w:t>
      </w:r>
      <w:r w:rsidR="009E2AAC">
        <w:rPr>
          <w:b/>
          <w:bCs/>
        </w:rPr>
        <w:t>8</w:t>
      </w:r>
      <w:r w:rsidR="009E2AAC" w:rsidRPr="00241641">
        <w:rPr>
          <w:b/>
          <w:bCs/>
        </w:rPr>
        <w:t xml:space="preserve"> </w:t>
      </w:r>
      <w:r w:rsidR="00241641" w:rsidRPr="00241641">
        <w:t xml:space="preserve">täiendatakse </w:t>
      </w:r>
      <w:r w:rsidR="005F6C02" w:rsidRPr="00241641">
        <w:t>määruse</w:t>
      </w:r>
      <w:r w:rsidR="007F2E85" w:rsidRPr="00241641">
        <w:t xml:space="preserve"> nr 76</w:t>
      </w:r>
      <w:r w:rsidR="005F6C02" w:rsidRPr="00241641">
        <w:t xml:space="preserve"> § 19</w:t>
      </w:r>
      <w:r w:rsidR="005F6C02" w:rsidRPr="00241641">
        <w:rPr>
          <w:vertAlign w:val="superscript"/>
        </w:rPr>
        <w:t>1</w:t>
      </w:r>
      <w:r w:rsidR="005F6C02" w:rsidRPr="00241641">
        <w:t xml:space="preserve"> lõi</w:t>
      </w:r>
      <w:r w:rsidR="00E027FF" w:rsidRPr="00241641">
        <w:t>k</w:t>
      </w:r>
      <w:r w:rsidR="005F6C02" w:rsidRPr="00241641">
        <w:t>e 3 punkti 1</w:t>
      </w:r>
      <w:r w:rsidR="00635068" w:rsidRPr="00241641">
        <w:t xml:space="preserve"> ja määruse nr 26 § 14 lõi</w:t>
      </w:r>
      <w:r w:rsidR="00CE0889" w:rsidRPr="00241641">
        <w:t>ke</w:t>
      </w:r>
      <w:r w:rsidR="00635068" w:rsidRPr="00241641">
        <w:t xml:space="preserve"> 3</w:t>
      </w:r>
      <w:r w:rsidR="00CE0889" w:rsidRPr="00241641">
        <w:t xml:space="preserve"> sõnastus</w:t>
      </w:r>
      <w:r w:rsidR="00850D9E">
        <w:t>t</w:t>
      </w:r>
      <w:r w:rsidR="00CE0889" w:rsidRPr="00241641">
        <w:t xml:space="preserve">, mille </w:t>
      </w:r>
      <w:r w:rsidR="005E0DD7" w:rsidRPr="00241641">
        <w:t>kohaselt</w:t>
      </w:r>
      <w:r w:rsidR="00CE0889" w:rsidRPr="00241641">
        <w:t xml:space="preserve"> </w:t>
      </w:r>
      <w:r w:rsidR="00E027FF" w:rsidRPr="00241641">
        <w:t xml:space="preserve">esitab toetuse saaja </w:t>
      </w:r>
      <w:r w:rsidR="00CE0889" w:rsidRPr="00241641">
        <w:t>investeeringu</w:t>
      </w:r>
      <w:r w:rsidR="00E027FF" w:rsidRPr="00241641">
        <w:t xml:space="preserve"> või tegevuse</w:t>
      </w:r>
      <w:r w:rsidR="00CE0889" w:rsidRPr="00241641">
        <w:t xml:space="preserve"> elluviimist tõendav</w:t>
      </w:r>
      <w:r w:rsidR="00E027FF" w:rsidRPr="00241641">
        <w:t>ad</w:t>
      </w:r>
      <w:r w:rsidR="00CE0889" w:rsidRPr="00241641">
        <w:t xml:space="preserve"> dokumen</w:t>
      </w:r>
      <w:r w:rsidR="00E027FF" w:rsidRPr="00241641">
        <w:t>did a</w:t>
      </w:r>
      <w:r w:rsidR="00E027FF" w:rsidRPr="00415081">
        <w:rPr>
          <w:color w:val="202020"/>
          <w:shd w:val="clear" w:color="auto" w:fill="FFFFFF"/>
        </w:rPr>
        <w:t>rvates PRIA poolt taotluse rahuldamise otsuse tegemisest</w:t>
      </w:r>
      <w:r w:rsidR="0012333A">
        <w:rPr>
          <w:color w:val="202020"/>
          <w:shd w:val="clear" w:color="auto" w:fill="FFFFFF"/>
        </w:rPr>
        <w:t xml:space="preserve"> </w:t>
      </w:r>
      <w:r w:rsidR="00E027FF" w:rsidRPr="00241641">
        <w:t xml:space="preserve">hiljemalt </w:t>
      </w:r>
      <w:r w:rsidR="001705EA">
        <w:t xml:space="preserve">2025. aasta </w:t>
      </w:r>
      <w:r w:rsidR="00E027FF" w:rsidRPr="00241641">
        <w:t>30. juunil</w:t>
      </w:r>
      <w:r w:rsidR="00CE0889" w:rsidRPr="00241641">
        <w:t>.</w:t>
      </w:r>
      <w:r w:rsidR="005F6C02" w:rsidRPr="00104D85">
        <w:t xml:space="preserve"> Nimelt võeti </w:t>
      </w:r>
      <w:r w:rsidR="001705EA">
        <w:t xml:space="preserve">2020. aasta </w:t>
      </w:r>
      <w:r w:rsidR="005F6C02" w:rsidRPr="00104D85">
        <w:t>23.</w:t>
      </w:r>
      <w:r w:rsidR="004B5136">
        <w:t> </w:t>
      </w:r>
      <w:r w:rsidR="005F6C02" w:rsidRPr="00104D85">
        <w:t>detsembril vastu üleminekumäärus, mille artikli 1 lõike 1 kohaselt pikendatakse Euroopa Maaelu Arengu Põllumajandusfondist (EAFRD) toetatavate programmide puhul ühissätete määruse</w:t>
      </w:r>
      <w:r w:rsidR="005F6C02" w:rsidRPr="00104D85">
        <w:rPr>
          <w:rStyle w:val="FootnoteReference"/>
        </w:rPr>
        <w:footnoteReference w:id="3"/>
      </w:r>
      <w:r w:rsidR="005F6C02" w:rsidRPr="00104D85">
        <w:t xml:space="preserve"> artikli 26 lõikes</w:t>
      </w:r>
      <w:r w:rsidR="001705EA">
        <w:t> </w:t>
      </w:r>
      <w:r w:rsidR="005F6C02" w:rsidRPr="00104D85">
        <w:t xml:space="preserve">1 sätestatud </w:t>
      </w:r>
      <w:r w:rsidR="001705EA">
        <w:t xml:space="preserve">2014. aasta </w:t>
      </w:r>
      <w:r w:rsidR="005F6C02" w:rsidRPr="00104D85">
        <w:t>1.</w:t>
      </w:r>
      <w:r w:rsidR="001705EA">
        <w:t> </w:t>
      </w:r>
      <w:r w:rsidR="005F6C02" w:rsidRPr="00104D85">
        <w:t xml:space="preserve">jaanuarist kuni </w:t>
      </w:r>
      <w:r w:rsidR="001705EA">
        <w:t xml:space="preserve">2020. aasta </w:t>
      </w:r>
      <w:r w:rsidR="005F6C02" w:rsidRPr="00104D85">
        <w:t>31.</w:t>
      </w:r>
      <w:r w:rsidR="001705EA">
        <w:t> </w:t>
      </w:r>
      <w:r w:rsidR="005F6C02" w:rsidRPr="00104D85">
        <w:t xml:space="preserve">detsembrini kestvat ajavahemikku kuni </w:t>
      </w:r>
      <w:r w:rsidR="001705EA">
        <w:t xml:space="preserve">2022. aasta </w:t>
      </w:r>
      <w:r w:rsidR="005F6C02" w:rsidRPr="00104D85">
        <w:t>31.</w:t>
      </w:r>
      <w:r w:rsidR="0064751F">
        <w:t> </w:t>
      </w:r>
      <w:r w:rsidR="005F6C02" w:rsidRPr="00104D85">
        <w:t>detsembrini</w:t>
      </w:r>
      <w:r w:rsidR="007058EF">
        <w:t xml:space="preserve">. See tähendab, et </w:t>
      </w:r>
      <w:r w:rsidR="005F6C02" w:rsidRPr="00104D85">
        <w:t xml:space="preserve">aastatel 2021–2022 on üleminekuperiood uude </w:t>
      </w:r>
      <w:r w:rsidR="00DD2A33" w:rsidRPr="00611467">
        <w:t>Euroopa Liidu ühise põllumajanduspoliitika</w:t>
      </w:r>
      <w:r w:rsidR="00DD2A33" w:rsidRPr="00104D85">
        <w:t xml:space="preserve"> </w:t>
      </w:r>
      <w:r w:rsidR="005F6C02" w:rsidRPr="00104D85">
        <w:t>programmiperioodi. Samuti pikeneb üleminekumääruse artikli 2 punkti 2 kohaselt ühissätete määruse artikli 65 lõikes 2 sätestatud kulutuste rahastamiskõlblikkuse periood kahe aasta võrra ehk kuni 2025. aasta 31.</w:t>
      </w:r>
      <w:r w:rsidR="001705EA">
        <w:t> </w:t>
      </w:r>
      <w:r w:rsidR="005F6C02" w:rsidRPr="00104D85">
        <w:t xml:space="preserve">detsembrini. See tähendab, et ühissätete määruse artikli 65 lõike 2 kohaselt on kulud Euroopa struktuuri- ja investeerimisfondidest toetuse saamiseks kõlblikud juhul, kui need on toetusesaajal </w:t>
      </w:r>
      <w:r w:rsidR="00312711" w:rsidRPr="00104D85">
        <w:t xml:space="preserve">tekkinud </w:t>
      </w:r>
      <w:r w:rsidR="005F6C02" w:rsidRPr="00104D85">
        <w:t>ja tasutud hiljemalt 2025.</w:t>
      </w:r>
      <w:r w:rsidR="001705EA">
        <w:t> </w:t>
      </w:r>
      <w:r w:rsidR="005F6C02" w:rsidRPr="00104D85">
        <w:t>aasta 31.</w:t>
      </w:r>
      <w:r w:rsidR="0064751F">
        <w:t> </w:t>
      </w:r>
      <w:r w:rsidR="005F6C02" w:rsidRPr="00104D85">
        <w:t>detsembril. Tagamaks, et PRIA jõuaks programmiperioodi lõppu jäävaid väljamakseid teha enne 2025.</w:t>
      </w:r>
      <w:r w:rsidR="001705EA">
        <w:t> </w:t>
      </w:r>
      <w:r w:rsidR="005F6C02" w:rsidRPr="00104D85">
        <w:t>aasta 31.</w:t>
      </w:r>
      <w:r w:rsidR="001705EA">
        <w:t> </w:t>
      </w:r>
      <w:r w:rsidR="005F6C02" w:rsidRPr="00104D85">
        <w:t xml:space="preserve">detsembrit, ja võimaldamaks PRIA-le ka </w:t>
      </w:r>
      <w:r w:rsidR="007A62BC" w:rsidRPr="00104D85">
        <w:t>mõistlik</w:t>
      </w:r>
      <w:r w:rsidR="007A62BC">
        <w:t>ku</w:t>
      </w:r>
      <w:r w:rsidR="007A62BC" w:rsidRPr="00104D85">
        <w:t xml:space="preserve"> aeg</w:t>
      </w:r>
      <w:r w:rsidR="007A62BC">
        <w:t>a</w:t>
      </w:r>
      <w:r w:rsidR="007A62BC" w:rsidRPr="00104D85">
        <w:t xml:space="preserve"> </w:t>
      </w:r>
      <w:r w:rsidR="005F6C02" w:rsidRPr="00104D85">
        <w:t>kuludokumentide menetlemiseks, siis tuuakse abikõlblikkust tõendavate kuludokumentide esitamise täht</w:t>
      </w:r>
      <w:r w:rsidR="007058EF">
        <w:t>päev</w:t>
      </w:r>
      <w:r w:rsidR="005F6C02" w:rsidRPr="00104D85">
        <w:t xml:space="preserve"> varasemaks. Kehtiva</w:t>
      </w:r>
      <w:r w:rsidR="00CE0889">
        <w:t>te</w:t>
      </w:r>
      <w:r w:rsidR="005F6C02" w:rsidRPr="00104D85">
        <w:t xml:space="preserve"> määrus</w:t>
      </w:r>
      <w:r w:rsidR="00CE0889">
        <w:t>t</w:t>
      </w:r>
      <w:r w:rsidR="005F6C02" w:rsidRPr="00104D85">
        <w:t>e</w:t>
      </w:r>
      <w:r w:rsidR="0068169A">
        <w:t xml:space="preserve"> nr 76</w:t>
      </w:r>
      <w:r w:rsidR="005F6C02" w:rsidRPr="00104D85">
        <w:t xml:space="preserve"> </w:t>
      </w:r>
      <w:r w:rsidR="00CE0889">
        <w:t xml:space="preserve">ja </w:t>
      </w:r>
      <w:r w:rsidR="008D6E89">
        <w:t xml:space="preserve">nr </w:t>
      </w:r>
      <w:r w:rsidR="00CE0889">
        <w:t xml:space="preserve">26 </w:t>
      </w:r>
      <w:r w:rsidR="005F6C02" w:rsidRPr="00104D85">
        <w:t xml:space="preserve">alusel teeb PRIA toetuse maksmise otsuse sellise aja jooksul, et toetusraha oleks võimalik kanda toetuse saaja arvelduskontole </w:t>
      </w:r>
      <w:r w:rsidR="00585CD8">
        <w:t xml:space="preserve">kahe </w:t>
      </w:r>
      <w:r w:rsidR="005F6C02" w:rsidRPr="00104D85">
        <w:t xml:space="preserve">kuu jooksul arvates nõuetekohaste kuludokumentide </w:t>
      </w:r>
      <w:r w:rsidR="00585CD8">
        <w:t>saamisest</w:t>
      </w:r>
      <w:r w:rsidR="005F6C02" w:rsidRPr="00104D85">
        <w:t>. Arvestades nimetatud aega ja võimalikku vaidemenetluseks</w:t>
      </w:r>
      <w:r w:rsidR="00CE0889" w:rsidRPr="00CE0889">
        <w:t xml:space="preserve"> </w:t>
      </w:r>
      <w:r w:rsidR="008D6E89">
        <w:t xml:space="preserve">kuluvat </w:t>
      </w:r>
      <w:r w:rsidR="008D6E89" w:rsidRPr="00104D85">
        <w:t>aega</w:t>
      </w:r>
      <w:r w:rsidR="008D6E89">
        <w:t>,</w:t>
      </w:r>
      <w:r w:rsidR="008D6E89" w:rsidRPr="00F41024">
        <w:t xml:space="preserve"> </w:t>
      </w:r>
      <w:r w:rsidR="00CE0889" w:rsidRPr="00F41024">
        <w:t xml:space="preserve">peab </w:t>
      </w:r>
      <w:r w:rsidR="00CE0889" w:rsidRPr="00FA4920">
        <w:t xml:space="preserve">projekt olema ellu viidud ja kulu abikõlblikkust tõendavad dokumendid PRIA-le esitatud hiljemalt </w:t>
      </w:r>
      <w:r w:rsidR="001705EA" w:rsidRPr="00FA4920">
        <w:t xml:space="preserve">2025. aasta </w:t>
      </w:r>
      <w:r w:rsidR="00CE0889" w:rsidRPr="00FA4920">
        <w:t>30. juunil.</w:t>
      </w:r>
    </w:p>
    <w:p w14:paraId="7834CB2E" w14:textId="77777777" w:rsidR="00955E22" w:rsidRPr="00104D85" w:rsidRDefault="00955E22">
      <w:pPr>
        <w:jc w:val="both"/>
      </w:pPr>
    </w:p>
    <w:p w14:paraId="523F442A" w14:textId="2BC16E49" w:rsidR="00BF7B97" w:rsidRDefault="00C437D1" w:rsidP="006F361E">
      <w:pPr>
        <w:jc w:val="both"/>
        <w:rPr>
          <w:bCs/>
        </w:rPr>
      </w:pPr>
      <w:r w:rsidRPr="00104D85">
        <w:rPr>
          <w:b/>
          <w:bCs/>
        </w:rPr>
        <w:t xml:space="preserve">Eelnõu </w:t>
      </w:r>
      <w:r w:rsidR="00E63798">
        <w:rPr>
          <w:b/>
          <w:bCs/>
        </w:rPr>
        <w:t xml:space="preserve">§ </w:t>
      </w:r>
      <w:r w:rsidR="00890E91">
        <w:rPr>
          <w:b/>
          <w:bCs/>
        </w:rPr>
        <w:t>2</w:t>
      </w:r>
      <w:r w:rsidR="00E63798">
        <w:rPr>
          <w:b/>
          <w:bCs/>
        </w:rPr>
        <w:t xml:space="preserve"> </w:t>
      </w:r>
      <w:r w:rsidRPr="00104D85">
        <w:rPr>
          <w:b/>
          <w:bCs/>
        </w:rPr>
        <w:t>punkti</w:t>
      </w:r>
      <w:r>
        <w:rPr>
          <w:b/>
          <w:bCs/>
        </w:rPr>
        <w:t>ga</w:t>
      </w:r>
      <w:r w:rsidRPr="00104D85">
        <w:rPr>
          <w:b/>
          <w:bCs/>
        </w:rPr>
        <w:t xml:space="preserve"> </w:t>
      </w:r>
      <w:r w:rsidR="008F359F">
        <w:rPr>
          <w:b/>
          <w:bCs/>
        </w:rPr>
        <w:t xml:space="preserve">4 </w:t>
      </w:r>
      <w:r w:rsidR="00EF300D" w:rsidRPr="0078663E">
        <w:rPr>
          <w:bCs/>
        </w:rPr>
        <w:t>täiendatakse</w:t>
      </w:r>
      <w:r w:rsidR="00EF300D">
        <w:rPr>
          <w:b/>
          <w:bCs/>
        </w:rPr>
        <w:t xml:space="preserve"> </w:t>
      </w:r>
      <w:r w:rsidR="00EF300D" w:rsidRPr="00C51B91">
        <w:rPr>
          <w:bCs/>
        </w:rPr>
        <w:t>määruse</w:t>
      </w:r>
      <w:r w:rsidR="007F2E85">
        <w:rPr>
          <w:bCs/>
        </w:rPr>
        <w:t xml:space="preserve"> nr 76</w:t>
      </w:r>
      <w:r w:rsidR="00EF300D" w:rsidRPr="00C51B91">
        <w:rPr>
          <w:bCs/>
        </w:rPr>
        <w:t xml:space="preserve"> §</w:t>
      </w:r>
      <w:r w:rsidR="00EF300D">
        <w:rPr>
          <w:bCs/>
        </w:rPr>
        <w:t xml:space="preserve"> </w:t>
      </w:r>
      <w:r w:rsidR="00EF300D" w:rsidRPr="002E609C">
        <w:rPr>
          <w:bCs/>
        </w:rPr>
        <w:t>24 lõi</w:t>
      </w:r>
      <w:r w:rsidR="00EF300D">
        <w:rPr>
          <w:bCs/>
        </w:rPr>
        <w:t>ke</w:t>
      </w:r>
      <w:r w:rsidR="00EF300D" w:rsidRPr="002E609C">
        <w:rPr>
          <w:bCs/>
        </w:rPr>
        <w:t xml:space="preserve">ga </w:t>
      </w:r>
      <w:r w:rsidR="00EF300D">
        <w:rPr>
          <w:bCs/>
        </w:rPr>
        <w:t>9, mille</w:t>
      </w:r>
      <w:r w:rsidR="00EF300D">
        <w:rPr>
          <w:b/>
          <w:bCs/>
        </w:rPr>
        <w:t xml:space="preserve"> </w:t>
      </w:r>
      <w:r w:rsidR="007D6D78">
        <w:rPr>
          <w:bCs/>
        </w:rPr>
        <w:t xml:space="preserve">kohaselt </w:t>
      </w:r>
      <w:r w:rsidR="007D6D78" w:rsidRPr="002E609C">
        <w:rPr>
          <w:bCs/>
        </w:rPr>
        <w:t>pikendatakse</w:t>
      </w:r>
      <w:r w:rsidR="007D6D78">
        <w:rPr>
          <w:bCs/>
        </w:rPr>
        <w:t xml:space="preserve"> </w:t>
      </w:r>
      <w:r w:rsidR="00EF300D">
        <w:rPr>
          <w:bCs/>
        </w:rPr>
        <w:t xml:space="preserve">2021. ja 2022. aastal </w:t>
      </w:r>
      <w:r w:rsidR="007D6D78">
        <w:rPr>
          <w:bCs/>
        </w:rPr>
        <w:t xml:space="preserve">toetuse taotlemiseks vajalike dokumentide </w:t>
      </w:r>
      <w:r w:rsidR="007D6D78" w:rsidRPr="009158D8">
        <w:rPr>
          <w:bCs/>
        </w:rPr>
        <w:t>P</w:t>
      </w:r>
      <w:r w:rsidR="00EF300D" w:rsidRPr="009158D8">
        <w:rPr>
          <w:bCs/>
        </w:rPr>
        <w:t>T</w:t>
      </w:r>
      <w:r w:rsidR="007D6D78" w:rsidRPr="009158D8">
        <w:rPr>
          <w:bCs/>
        </w:rPr>
        <w:t>A</w:t>
      </w:r>
      <w:r w:rsidR="00790766" w:rsidRPr="009158D8">
        <w:rPr>
          <w:bCs/>
        </w:rPr>
        <w:t>-le</w:t>
      </w:r>
      <w:r w:rsidR="007D6D78" w:rsidRPr="00C74E1C">
        <w:t xml:space="preserve"> </w:t>
      </w:r>
      <w:r w:rsidR="007D6D78">
        <w:rPr>
          <w:bCs/>
        </w:rPr>
        <w:t xml:space="preserve">esitamise tähtaega </w:t>
      </w:r>
      <w:r w:rsidR="007D6D78" w:rsidRPr="00C51B91">
        <w:rPr>
          <w:bCs/>
        </w:rPr>
        <w:t>kahe kuu võrra</w:t>
      </w:r>
      <w:r w:rsidR="007D6D78">
        <w:rPr>
          <w:bCs/>
        </w:rPr>
        <w:t>.</w:t>
      </w:r>
      <w:r w:rsidR="007D6D78" w:rsidRPr="00C51B91">
        <w:rPr>
          <w:bCs/>
        </w:rPr>
        <w:t xml:space="preserve"> </w:t>
      </w:r>
      <w:r w:rsidR="005B588E" w:rsidRPr="005B588E">
        <w:rPr>
          <w:bCs/>
        </w:rPr>
        <w:t>Kehtiva määruse § 12 lõike 6 kohaselt esitab ta</w:t>
      </w:r>
      <w:r w:rsidR="005B588E">
        <w:rPr>
          <w:bCs/>
        </w:rPr>
        <w:t>otleja</w:t>
      </w:r>
      <w:r w:rsidR="00694D29">
        <w:rPr>
          <w:bCs/>
        </w:rPr>
        <w:t xml:space="preserve"> enne toetuse taotlemist</w:t>
      </w:r>
      <w:r w:rsidR="005B588E">
        <w:rPr>
          <w:bCs/>
        </w:rPr>
        <w:t xml:space="preserve"> hiljemalt 1. augustiks PT</w:t>
      </w:r>
      <w:r w:rsidR="005B588E" w:rsidRPr="005B588E">
        <w:rPr>
          <w:bCs/>
        </w:rPr>
        <w:t>A-le taotluse maaparandussüsteemi ehitusloa saamiseks ja kooskõlastamiseks maaparandussüsteemi uuendam</w:t>
      </w:r>
      <w:r w:rsidR="005B588E">
        <w:rPr>
          <w:bCs/>
        </w:rPr>
        <w:t>iseks vajalikud dokumendid. Muudatuse tulemusel esitakse 2021</w:t>
      </w:r>
      <w:r w:rsidR="005B588E" w:rsidRPr="005B588E">
        <w:rPr>
          <w:bCs/>
        </w:rPr>
        <w:t>.</w:t>
      </w:r>
      <w:r w:rsidR="0064751F">
        <w:rPr>
          <w:bCs/>
        </w:rPr>
        <w:t> </w:t>
      </w:r>
      <w:r w:rsidR="005B588E">
        <w:rPr>
          <w:bCs/>
        </w:rPr>
        <w:t>ja 2022. aastal need dokumendid PT</w:t>
      </w:r>
      <w:r w:rsidR="005B588E" w:rsidRPr="005B588E">
        <w:rPr>
          <w:bCs/>
        </w:rPr>
        <w:t>A-le hiljemalt 1. oktoobriks.</w:t>
      </w:r>
      <w:r w:rsidR="005B588E">
        <w:rPr>
          <w:bCs/>
        </w:rPr>
        <w:t xml:space="preserve"> </w:t>
      </w:r>
      <w:r w:rsidR="005B588E" w:rsidRPr="005B588E">
        <w:rPr>
          <w:bCs/>
        </w:rPr>
        <w:t>Kehtiva määruse § 12 lõike 5 kohaselt esitab taotl</w:t>
      </w:r>
      <w:r w:rsidR="005B588E">
        <w:rPr>
          <w:bCs/>
        </w:rPr>
        <w:t xml:space="preserve">eja </w:t>
      </w:r>
      <w:r w:rsidR="00694D29">
        <w:rPr>
          <w:bCs/>
        </w:rPr>
        <w:t xml:space="preserve">enne toetuse taotlemist </w:t>
      </w:r>
      <w:r w:rsidR="005B588E">
        <w:rPr>
          <w:bCs/>
        </w:rPr>
        <w:t>hiljemalt 20. septembriks PT</w:t>
      </w:r>
      <w:r w:rsidR="005B588E" w:rsidRPr="005B588E">
        <w:rPr>
          <w:bCs/>
        </w:rPr>
        <w:t>A-le kooskõlastamiseks maaparanduslike tegevuste nõuetele vastavuse kinnituslehe ja juurdepääsutee investeeringuobjekti puhul maaparandussüsteemi juu</w:t>
      </w:r>
      <w:r w:rsidR="005B588E">
        <w:rPr>
          <w:bCs/>
        </w:rPr>
        <w:t>rdepääsutee ehitusprojekti, kuid 2021</w:t>
      </w:r>
      <w:r w:rsidR="005B588E" w:rsidRPr="005B588E">
        <w:rPr>
          <w:bCs/>
        </w:rPr>
        <w:t>.</w:t>
      </w:r>
      <w:r w:rsidR="005B588E">
        <w:rPr>
          <w:bCs/>
        </w:rPr>
        <w:t xml:space="preserve"> ja 2022. </w:t>
      </w:r>
      <w:r w:rsidR="005B588E" w:rsidRPr="005B588E">
        <w:rPr>
          <w:bCs/>
        </w:rPr>
        <w:t xml:space="preserve">aastal saab taotleja nimetatud dokumendid esitada 20. novembriks. </w:t>
      </w:r>
      <w:bookmarkStart w:id="0" w:name="para12lg6"/>
    </w:p>
    <w:bookmarkEnd w:id="0"/>
    <w:p w14:paraId="307827F4" w14:textId="347A4A7C" w:rsidR="005B588E" w:rsidRDefault="005B588E" w:rsidP="006F361E">
      <w:pPr>
        <w:jc w:val="both"/>
        <w:rPr>
          <w:bCs/>
        </w:rPr>
      </w:pPr>
    </w:p>
    <w:p w14:paraId="7BAF38EB" w14:textId="51439544" w:rsidR="00BF7B97" w:rsidRDefault="005B588E" w:rsidP="006F361E">
      <w:pPr>
        <w:jc w:val="both"/>
        <w:rPr>
          <w:bCs/>
        </w:rPr>
      </w:pPr>
      <w:r w:rsidRPr="005B588E">
        <w:rPr>
          <w:bCs/>
        </w:rPr>
        <w:t>Muudatus loob paindlikum</w:t>
      </w:r>
      <w:r>
        <w:rPr>
          <w:bCs/>
        </w:rPr>
        <w:t xml:space="preserve">ad võimalused toetuse taotluste </w:t>
      </w:r>
      <w:r w:rsidRPr="005B588E">
        <w:rPr>
          <w:bCs/>
        </w:rPr>
        <w:t>ettevalmistamiseks, mis ühelt poolt on tingitud COVID-19</w:t>
      </w:r>
      <w:r w:rsidR="000D7DC6" w:rsidRPr="000D7DC6">
        <w:rPr>
          <w:shd w:val="clear" w:color="auto" w:fill="FFFFFF"/>
        </w:rPr>
        <w:t xml:space="preserve"> </w:t>
      </w:r>
      <w:r w:rsidR="000D7DC6" w:rsidRPr="00004F9C">
        <w:rPr>
          <w:shd w:val="clear" w:color="auto" w:fill="FFFFFF"/>
        </w:rPr>
        <w:t>haigust põhjustava koroonaviiruse puhang</w:t>
      </w:r>
      <w:r w:rsidR="000D7DC6">
        <w:rPr>
          <w:shd w:val="clear" w:color="auto" w:fill="FFFFFF"/>
        </w:rPr>
        <w:t>ust tingitud</w:t>
      </w:r>
      <w:r w:rsidRPr="005B588E">
        <w:rPr>
          <w:bCs/>
        </w:rPr>
        <w:t xml:space="preserve"> piirangutest ja teiselt poolt tuginetakse </w:t>
      </w:r>
      <w:r w:rsidR="009A5FE9">
        <w:rPr>
          <w:bCs/>
        </w:rPr>
        <w:t>2020.</w:t>
      </w:r>
      <w:r w:rsidR="009A5FE9" w:rsidRPr="005B588E">
        <w:rPr>
          <w:bCs/>
        </w:rPr>
        <w:t xml:space="preserve"> </w:t>
      </w:r>
      <w:r w:rsidRPr="005B588E">
        <w:rPr>
          <w:bCs/>
        </w:rPr>
        <w:t>aasta kogemusele, kus samuti pikendati tähtpäevi kahe kuu võrra</w:t>
      </w:r>
      <w:r w:rsidR="00312711">
        <w:rPr>
          <w:bCs/>
        </w:rPr>
        <w:t>. S</w:t>
      </w:r>
      <w:r w:rsidRPr="005B588E">
        <w:rPr>
          <w:bCs/>
        </w:rPr>
        <w:t xml:space="preserve">ee leidis positiivset tagasisidet nii taotlejate kui ka PTA ja PRIA </w:t>
      </w:r>
      <w:r w:rsidR="00312711">
        <w:rPr>
          <w:bCs/>
        </w:rPr>
        <w:t xml:space="preserve">poolt. </w:t>
      </w:r>
    </w:p>
    <w:p w14:paraId="32604D9E" w14:textId="75F23F18" w:rsidR="00635068" w:rsidRDefault="00635068" w:rsidP="006F361E">
      <w:pPr>
        <w:jc w:val="both"/>
        <w:rPr>
          <w:bCs/>
        </w:rPr>
      </w:pPr>
    </w:p>
    <w:p w14:paraId="03787C96" w14:textId="4475D1CC" w:rsidR="007D3301" w:rsidRPr="000E6586" w:rsidRDefault="00635068" w:rsidP="00BF7B97">
      <w:pPr>
        <w:jc w:val="both"/>
        <w:rPr>
          <w:bCs/>
        </w:rPr>
      </w:pPr>
      <w:r w:rsidRPr="00104D85">
        <w:rPr>
          <w:b/>
          <w:bCs/>
        </w:rPr>
        <w:t xml:space="preserve">Eelnõu </w:t>
      </w:r>
      <w:r>
        <w:rPr>
          <w:b/>
          <w:bCs/>
        </w:rPr>
        <w:t xml:space="preserve">§ 3 </w:t>
      </w:r>
      <w:r w:rsidRPr="00104D85">
        <w:rPr>
          <w:b/>
          <w:bCs/>
        </w:rPr>
        <w:t>punkti</w:t>
      </w:r>
      <w:r>
        <w:rPr>
          <w:b/>
          <w:bCs/>
        </w:rPr>
        <w:t>ga</w:t>
      </w:r>
      <w:r w:rsidRPr="00104D85">
        <w:rPr>
          <w:b/>
          <w:bCs/>
        </w:rPr>
        <w:t xml:space="preserve"> 1 </w:t>
      </w:r>
      <w:r w:rsidRPr="00104D85">
        <w:rPr>
          <w:bCs/>
        </w:rPr>
        <w:t xml:space="preserve">täiendatakse määruse </w:t>
      </w:r>
      <w:r w:rsidR="00B121CB">
        <w:t xml:space="preserve">nr 26 </w:t>
      </w:r>
      <w:r w:rsidRPr="00104D85">
        <w:rPr>
          <w:bCs/>
        </w:rPr>
        <w:t>§ 3 lõikega 1</w:t>
      </w:r>
      <w:r w:rsidRPr="00104D85">
        <w:rPr>
          <w:bCs/>
          <w:vertAlign w:val="superscript"/>
        </w:rPr>
        <w:t>1</w:t>
      </w:r>
      <w:r w:rsidR="005B1B8A">
        <w:rPr>
          <w:bCs/>
        </w:rPr>
        <w:t>, mille kohaselt võib</w:t>
      </w:r>
      <w:r w:rsidR="00BD2DC9">
        <w:rPr>
          <w:bCs/>
        </w:rPr>
        <w:t xml:space="preserve"> edaspidi</w:t>
      </w:r>
      <w:r w:rsidR="005B1B8A">
        <w:rPr>
          <w:bCs/>
        </w:rPr>
        <w:t xml:space="preserve"> PTA t</w:t>
      </w:r>
      <w:r w:rsidRPr="00104D85">
        <w:rPr>
          <w:bCs/>
        </w:rPr>
        <w:t xml:space="preserve">oetatava tegevuse osaks </w:t>
      </w:r>
      <w:r>
        <w:rPr>
          <w:bCs/>
        </w:rPr>
        <w:t>olla ka</w:t>
      </w:r>
      <w:r w:rsidRPr="00104D85">
        <w:rPr>
          <w:bCs/>
        </w:rPr>
        <w:t xml:space="preserve"> </w:t>
      </w:r>
      <w:r w:rsidR="00BD2DC9">
        <w:rPr>
          <w:bCs/>
        </w:rPr>
        <w:t xml:space="preserve">toetatava </w:t>
      </w:r>
      <w:r>
        <w:rPr>
          <w:bCs/>
        </w:rPr>
        <w:t xml:space="preserve">tegevusega </w:t>
      </w:r>
      <w:r w:rsidRPr="00104D85">
        <w:rPr>
          <w:bCs/>
        </w:rPr>
        <w:t xml:space="preserve">seotud tellitud </w:t>
      </w:r>
      <w:r w:rsidRPr="00476C8A">
        <w:rPr>
          <w:bCs/>
        </w:rPr>
        <w:t>uuendamise</w:t>
      </w:r>
      <w:r w:rsidRPr="00775DB6">
        <w:rPr>
          <w:bCs/>
        </w:rPr>
        <w:t xml:space="preserve"> projekteerimistöö</w:t>
      </w:r>
      <w:r w:rsidRPr="00104D85">
        <w:rPr>
          <w:bCs/>
        </w:rPr>
        <w:t xml:space="preserve">. See tähendab, et lisaks </w:t>
      </w:r>
      <w:r>
        <w:rPr>
          <w:bCs/>
        </w:rPr>
        <w:t xml:space="preserve">toetatavale </w:t>
      </w:r>
      <w:r w:rsidRPr="00104D85">
        <w:rPr>
          <w:bCs/>
        </w:rPr>
        <w:t xml:space="preserve">ühiseesvoolu uuendustööle </w:t>
      </w:r>
      <w:r>
        <w:rPr>
          <w:bCs/>
        </w:rPr>
        <w:t xml:space="preserve">võib olla </w:t>
      </w:r>
      <w:r w:rsidR="00BD2DC9">
        <w:rPr>
          <w:bCs/>
        </w:rPr>
        <w:t>selle</w:t>
      </w:r>
      <w:r w:rsidR="00CB395B">
        <w:rPr>
          <w:bCs/>
        </w:rPr>
        <w:t xml:space="preserve"> osaks</w:t>
      </w:r>
      <w:r w:rsidRPr="00104D85">
        <w:rPr>
          <w:bCs/>
        </w:rPr>
        <w:t xml:space="preserve"> </w:t>
      </w:r>
      <w:r w:rsidRPr="00533DB9">
        <w:rPr>
          <w:bCs/>
        </w:rPr>
        <w:t>ka</w:t>
      </w:r>
      <w:r w:rsidRPr="00476C8A">
        <w:rPr>
          <w:bCs/>
        </w:rPr>
        <w:t xml:space="preserve"> uuendamise</w:t>
      </w:r>
      <w:r w:rsidRPr="00533DB9">
        <w:rPr>
          <w:bCs/>
        </w:rPr>
        <w:t xml:space="preserve"> projekteerimistöö</w:t>
      </w:r>
      <w:r>
        <w:rPr>
          <w:bCs/>
        </w:rPr>
        <w:t>,</w:t>
      </w:r>
      <w:r w:rsidRPr="00104D85" w:rsidDel="008868B3">
        <w:rPr>
          <w:bCs/>
        </w:rPr>
        <w:t xml:space="preserve"> </w:t>
      </w:r>
      <w:r>
        <w:rPr>
          <w:bCs/>
        </w:rPr>
        <w:t xml:space="preserve">nagu </w:t>
      </w:r>
      <w:r w:rsidRPr="00104D85">
        <w:rPr>
          <w:bCs/>
        </w:rPr>
        <w:t>projekteerimis</w:t>
      </w:r>
      <w:r w:rsidR="00CB395B">
        <w:rPr>
          <w:bCs/>
        </w:rPr>
        <w:t>töö</w:t>
      </w:r>
      <w:r w:rsidRPr="00104D85">
        <w:rPr>
          <w:bCs/>
        </w:rPr>
        <w:t xml:space="preserve"> ja </w:t>
      </w:r>
      <w:r w:rsidR="00CB395B" w:rsidRPr="00B9431F">
        <w:t xml:space="preserve">projekteerimiseks vajalik </w:t>
      </w:r>
      <w:r w:rsidRPr="00104D85">
        <w:rPr>
          <w:bCs/>
        </w:rPr>
        <w:t xml:space="preserve">uurimistöö, ehitusgeoloogiline ja </w:t>
      </w:r>
      <w:r w:rsidR="00CB395B">
        <w:rPr>
          <w:bCs/>
        </w:rPr>
        <w:t>-</w:t>
      </w:r>
      <w:r w:rsidRPr="00104D85">
        <w:rPr>
          <w:bCs/>
        </w:rPr>
        <w:t xml:space="preserve">geodeetiline töö </w:t>
      </w:r>
      <w:r>
        <w:rPr>
          <w:bCs/>
        </w:rPr>
        <w:t>ning</w:t>
      </w:r>
      <w:r w:rsidRPr="00104D85">
        <w:rPr>
          <w:bCs/>
        </w:rPr>
        <w:t xml:space="preserve"> keskkonnamõju hindamisega seotud </w:t>
      </w:r>
      <w:r w:rsidR="00CB395B">
        <w:rPr>
          <w:bCs/>
        </w:rPr>
        <w:t>tegevus</w:t>
      </w:r>
      <w:r w:rsidRPr="00104D85">
        <w:rPr>
          <w:bCs/>
        </w:rPr>
        <w:t xml:space="preserve">. </w:t>
      </w:r>
      <w:r w:rsidR="002025AE">
        <w:rPr>
          <w:bCs/>
        </w:rPr>
        <w:t xml:space="preserve">Varem </w:t>
      </w:r>
      <w:r>
        <w:rPr>
          <w:bCs/>
        </w:rPr>
        <w:t xml:space="preserve">ei olnud </w:t>
      </w:r>
      <w:r w:rsidR="00BD2DC9">
        <w:rPr>
          <w:bCs/>
        </w:rPr>
        <w:t xml:space="preserve">PTA </w:t>
      </w:r>
      <w:r>
        <w:rPr>
          <w:bCs/>
        </w:rPr>
        <w:t>uuend</w:t>
      </w:r>
      <w:r w:rsidR="00BD2DC9">
        <w:rPr>
          <w:bCs/>
        </w:rPr>
        <w:t>amise projekteerimistöö kulud</w:t>
      </w:r>
      <w:r>
        <w:rPr>
          <w:bCs/>
        </w:rPr>
        <w:t xml:space="preserve"> abikõlblikud, sest PTA-l olid ootel mitmed uuendusprojektid, mis </w:t>
      </w:r>
      <w:r w:rsidR="00BD2DC9">
        <w:rPr>
          <w:bCs/>
        </w:rPr>
        <w:t xml:space="preserve">on aga vahepeal </w:t>
      </w:r>
      <w:r w:rsidRPr="005B1B8A">
        <w:rPr>
          <w:bCs/>
        </w:rPr>
        <w:t>toetuse abil realiseerunud. Muudatusega tagatakse</w:t>
      </w:r>
      <w:r w:rsidR="005B1B8A" w:rsidRPr="005B1B8A">
        <w:rPr>
          <w:bCs/>
        </w:rPr>
        <w:t xml:space="preserve"> </w:t>
      </w:r>
      <w:r w:rsidR="00BD2DC9">
        <w:rPr>
          <w:bCs/>
        </w:rPr>
        <w:t xml:space="preserve">edaspidi </w:t>
      </w:r>
      <w:r w:rsidR="005B1B8A" w:rsidRPr="005B1B8A">
        <w:rPr>
          <w:bCs/>
        </w:rPr>
        <w:t>ka</w:t>
      </w:r>
      <w:r w:rsidRPr="005B1B8A">
        <w:rPr>
          <w:bCs/>
        </w:rPr>
        <w:t xml:space="preserve"> PTA-le võrdsed võimalused sarnaselt</w:t>
      </w:r>
      <w:r w:rsidRPr="005B1B8A">
        <w:t xml:space="preserve"> teiste toetuse </w:t>
      </w:r>
      <w:r w:rsidR="00BD2DC9">
        <w:t>taotlejatega</w:t>
      </w:r>
      <w:r w:rsidR="00BD2DC9" w:rsidRPr="005B1B8A">
        <w:t xml:space="preserve"> </w:t>
      </w:r>
      <w:r w:rsidRPr="005B1B8A">
        <w:t>(</w:t>
      </w:r>
      <w:r w:rsidR="005B1B8A" w:rsidRPr="00BD2B59">
        <w:rPr>
          <w:color w:val="202020"/>
          <w:shd w:val="clear" w:color="auto" w:fill="FFFFFF"/>
        </w:rPr>
        <w:t>Põllumajandusuuringute Keskus</w:t>
      </w:r>
      <w:r w:rsidR="005B1B8A" w:rsidRPr="005B1B8A" w:rsidDel="005B1B8A">
        <w:rPr>
          <w:bCs/>
        </w:rPr>
        <w:t xml:space="preserve"> </w:t>
      </w:r>
      <w:r w:rsidR="005B1B8A" w:rsidRPr="005B1B8A">
        <w:rPr>
          <w:bCs/>
        </w:rPr>
        <w:t xml:space="preserve">ja </w:t>
      </w:r>
      <w:r w:rsidR="005B1B8A" w:rsidRPr="00BD2B59">
        <w:rPr>
          <w:color w:val="202020"/>
          <w:shd w:val="clear" w:color="auto" w:fill="FFFFFF"/>
        </w:rPr>
        <w:t>Eesti Taimekasvatuse Instituut</w:t>
      </w:r>
      <w:r w:rsidRPr="005B1B8A">
        <w:rPr>
          <w:bCs/>
        </w:rPr>
        <w:t>), kelle jaoks on</w:t>
      </w:r>
      <w:r w:rsidR="005B1B8A" w:rsidRPr="005B1B8A">
        <w:rPr>
          <w:bCs/>
        </w:rPr>
        <w:t xml:space="preserve"> </w:t>
      </w:r>
      <w:r w:rsidR="00BD2DC9">
        <w:rPr>
          <w:bCs/>
        </w:rPr>
        <w:t xml:space="preserve">kogu aeg </w:t>
      </w:r>
      <w:r w:rsidR="005B1B8A" w:rsidRPr="005B1B8A">
        <w:rPr>
          <w:bCs/>
        </w:rPr>
        <w:t>olnud</w:t>
      </w:r>
      <w:r w:rsidRPr="005B1B8A">
        <w:rPr>
          <w:bCs/>
        </w:rPr>
        <w:t xml:space="preserve"> ettevalmistavad tööd toetatava tegevuse osaks. Muudatusega </w:t>
      </w:r>
      <w:r w:rsidR="00164DA7" w:rsidRPr="00FA4920">
        <w:rPr>
          <w:bCs/>
        </w:rPr>
        <w:t xml:space="preserve">parandatakse </w:t>
      </w:r>
      <w:r w:rsidRPr="00FA4920">
        <w:rPr>
          <w:bCs/>
        </w:rPr>
        <w:t>PTA võimekust valmistada ette uuendusprojekte vajalikus mahus, pakkudes mõningast leevendust PTA eelarvele ja suunates tema eelarvevahendeid ühiseesvoolude hooldamiseks, mis ei ole</w:t>
      </w:r>
      <w:r w:rsidR="00095A1F" w:rsidRPr="00FA4920">
        <w:rPr>
          <w:bCs/>
        </w:rPr>
        <w:t xml:space="preserve"> toetatava tegevuse </w:t>
      </w:r>
      <w:r w:rsidRPr="00FA4920">
        <w:rPr>
          <w:bCs/>
        </w:rPr>
        <w:t>abikõlblik</w:t>
      </w:r>
      <w:r w:rsidR="00095A1F" w:rsidRPr="00FA4920">
        <w:rPr>
          <w:bCs/>
        </w:rPr>
        <w:t xml:space="preserve"> kulu</w:t>
      </w:r>
      <w:r w:rsidRPr="00FA4920">
        <w:rPr>
          <w:bCs/>
        </w:rPr>
        <w:t>. Määruse</w:t>
      </w:r>
      <w:r w:rsidR="00BD2DC9" w:rsidRPr="00FA4920">
        <w:rPr>
          <w:bCs/>
        </w:rPr>
        <w:t xml:space="preserve"> nr 26</w:t>
      </w:r>
      <w:r w:rsidR="000E6586" w:rsidRPr="00FA4920">
        <w:rPr>
          <w:bCs/>
        </w:rPr>
        <w:t xml:space="preserve"> § 14 lõike 2 punktis 1</w:t>
      </w:r>
      <w:r w:rsidRPr="00FA4920">
        <w:rPr>
          <w:bCs/>
        </w:rPr>
        <w:t xml:space="preserve"> sätestatud nõude kohaselt peab PTA tagama, et uuendatud ühiseesvool vastab maaparandusseaduse § </w:t>
      </w:r>
      <w:r w:rsidR="00B554AD" w:rsidRPr="00FA4920">
        <w:rPr>
          <w:bCs/>
        </w:rPr>
        <w:t>5</w:t>
      </w:r>
      <w:r w:rsidRPr="00FA4920">
        <w:rPr>
          <w:bCs/>
        </w:rPr>
        <w:t xml:space="preserve"> lõikes 2 esitatud</w:t>
      </w:r>
      <w:r w:rsidRPr="0049381E">
        <w:rPr>
          <w:bCs/>
        </w:rPr>
        <w:t xml:space="preserve"> nõuetele vähemalt viis aastat arvates PRIA poolt vi</w:t>
      </w:r>
      <w:r>
        <w:rPr>
          <w:bCs/>
        </w:rPr>
        <w:t xml:space="preserve">imase toetusosa väljamaksmisest. Selleks tuleb PTA-l planeerida ühiseesvoolude hooldamiseks rahalisi vahendeid. Viimastel aastatel on kallinenud uuendamistööga kaasnevad ettevalmistavad tööd ja samuti hooldustööd, mis tähendab, et </w:t>
      </w:r>
      <w:r w:rsidR="000E6586">
        <w:rPr>
          <w:bCs/>
        </w:rPr>
        <w:t xml:space="preserve">PTA </w:t>
      </w:r>
      <w:r>
        <w:rPr>
          <w:bCs/>
        </w:rPr>
        <w:t xml:space="preserve">eelarvest läheb suurem osa toetuse saamise kohustuse täitmiseks ehk ettevalmistavate </w:t>
      </w:r>
      <w:r w:rsidRPr="000E6586">
        <w:rPr>
          <w:bCs/>
        </w:rPr>
        <w:t xml:space="preserve">kulude katmiseks ja ühiseesvoolude hooldamiseks jääb vahendeid vähemaks. Muudatusega eemaldatakse risk, mis võib saada takistuseks </w:t>
      </w:r>
      <w:r w:rsidR="000E6586" w:rsidRPr="00BD2B59">
        <w:rPr>
          <w:color w:val="202020"/>
          <w:shd w:val="clear" w:color="auto" w:fill="FFFFFF"/>
        </w:rPr>
        <w:t>„Eesti maaelu arengukava 2014–2020ˮ meetme 4 „Investeeringud materiaalsesse varasse“ tegevuse liigi „Põllu- ja metsamajanduse taristu arendamine ja hoid“ raames riigiasutustele antava põllu- ja metsamajanduse taristu arendamise ning hoiu investeeringutoetuse</w:t>
      </w:r>
      <w:r w:rsidR="000E6586" w:rsidRPr="000E6586" w:rsidDel="000E6586">
        <w:rPr>
          <w:bCs/>
        </w:rPr>
        <w:t xml:space="preserve"> </w:t>
      </w:r>
      <w:r w:rsidRPr="000E6586">
        <w:rPr>
          <w:bCs/>
        </w:rPr>
        <w:t xml:space="preserve">eesmärkide saavutamisel </w:t>
      </w:r>
      <w:r w:rsidR="000E6586" w:rsidRPr="000E6586">
        <w:rPr>
          <w:bCs/>
        </w:rPr>
        <w:t>–</w:t>
      </w:r>
      <w:r w:rsidR="000E6586" w:rsidRPr="000E6586" w:rsidDel="000E6586">
        <w:rPr>
          <w:bCs/>
        </w:rPr>
        <w:t xml:space="preserve"> </w:t>
      </w:r>
      <w:r w:rsidRPr="000E6586">
        <w:rPr>
          <w:bCs/>
        </w:rPr>
        <w:t>parandada ühiseesvoolude tehnilist ja ökoloogilist seisukorda. Kvaliteetne uuendamise projekteerimistöö on oluline osa ühiseesvoolu uuendamise protsessist, mistõttu on mõistlik</w:t>
      </w:r>
      <w:r w:rsidR="00A10B11">
        <w:rPr>
          <w:bCs/>
        </w:rPr>
        <w:t xml:space="preserve"> ja vajalik</w:t>
      </w:r>
      <w:r w:rsidRPr="000E6586">
        <w:rPr>
          <w:bCs/>
        </w:rPr>
        <w:t xml:space="preserve"> see lisada </w:t>
      </w:r>
      <w:r w:rsidR="000E6586">
        <w:rPr>
          <w:bCs/>
        </w:rPr>
        <w:t xml:space="preserve">PTA </w:t>
      </w:r>
      <w:r w:rsidR="00095A1F" w:rsidRPr="000E6586">
        <w:rPr>
          <w:bCs/>
        </w:rPr>
        <w:t xml:space="preserve">toetatava </w:t>
      </w:r>
      <w:r w:rsidRPr="000E6586">
        <w:rPr>
          <w:bCs/>
        </w:rPr>
        <w:t xml:space="preserve">tegevuse osaks. </w:t>
      </w:r>
    </w:p>
    <w:p w14:paraId="47CC3958" w14:textId="77777777" w:rsidR="004724F6" w:rsidRDefault="004724F6" w:rsidP="00BF7B97">
      <w:pPr>
        <w:jc w:val="both"/>
      </w:pPr>
    </w:p>
    <w:p w14:paraId="07124333" w14:textId="1E878538" w:rsidR="00635068" w:rsidRPr="00C13969" w:rsidRDefault="00635068" w:rsidP="00BF7B97">
      <w:pPr>
        <w:pStyle w:val="Heading4"/>
        <w:spacing w:before="0"/>
        <w:jc w:val="both"/>
        <w:rPr>
          <w:rFonts w:ascii="Times New Roman" w:eastAsia="EUAlbertina-Regular-Identity-H" w:hAnsi="Times New Roman" w:cs="Times New Roman"/>
          <w:b/>
          <w:i w:val="0"/>
          <w:color w:val="auto"/>
        </w:rPr>
      </w:pPr>
      <w:r w:rsidRPr="006F361E">
        <w:rPr>
          <w:rFonts w:ascii="Times New Roman" w:hAnsi="Times New Roman" w:cs="Times New Roman"/>
          <w:b/>
          <w:i w:val="0"/>
          <w:color w:val="auto"/>
        </w:rPr>
        <w:t>Eelnõu</w:t>
      </w:r>
      <w:r w:rsidR="004724F6" w:rsidRPr="006F361E">
        <w:rPr>
          <w:rFonts w:ascii="Times New Roman" w:hAnsi="Times New Roman" w:cs="Times New Roman"/>
          <w:b/>
          <w:i w:val="0"/>
          <w:color w:val="auto"/>
        </w:rPr>
        <w:t xml:space="preserve"> § 3</w:t>
      </w:r>
      <w:r w:rsidRPr="006F361E">
        <w:rPr>
          <w:rFonts w:ascii="Times New Roman" w:hAnsi="Times New Roman" w:cs="Times New Roman"/>
          <w:b/>
          <w:i w:val="0"/>
          <w:color w:val="auto"/>
        </w:rPr>
        <w:t xml:space="preserve"> punktiga 2</w:t>
      </w:r>
      <w:r w:rsidRPr="006F361E">
        <w:rPr>
          <w:rFonts w:ascii="Times New Roman" w:hAnsi="Times New Roman" w:cs="Times New Roman"/>
          <w:b/>
          <w:color w:val="auto"/>
        </w:rPr>
        <w:t xml:space="preserve"> </w:t>
      </w:r>
      <w:r w:rsidRPr="00E97565">
        <w:rPr>
          <w:rFonts w:ascii="Times New Roman" w:hAnsi="Times New Roman" w:cs="Times New Roman"/>
          <w:i w:val="0"/>
          <w:color w:val="auto"/>
        </w:rPr>
        <w:t>ajakohastatakse määruses</w:t>
      </w:r>
      <w:r w:rsidR="00131612">
        <w:rPr>
          <w:rFonts w:ascii="Times New Roman" w:hAnsi="Times New Roman" w:cs="Times New Roman"/>
          <w:i w:val="0"/>
          <w:color w:val="auto"/>
        </w:rPr>
        <w:t xml:space="preserve"> nr 26</w:t>
      </w:r>
      <w:r w:rsidRPr="00E97565">
        <w:rPr>
          <w:rFonts w:ascii="Times New Roman" w:hAnsi="Times New Roman" w:cs="Times New Roman"/>
          <w:i w:val="0"/>
          <w:color w:val="auto"/>
        </w:rPr>
        <w:t xml:space="preserve"> läbivalt</w:t>
      </w:r>
      <w:r w:rsidRPr="00C002BF">
        <w:rPr>
          <w:rFonts w:ascii="Times New Roman" w:hAnsi="Times New Roman" w:cs="Times New Roman"/>
          <w:i w:val="0"/>
          <w:color w:val="auto"/>
        </w:rPr>
        <w:t xml:space="preserve"> </w:t>
      </w:r>
      <w:r>
        <w:rPr>
          <w:rFonts w:ascii="Times New Roman" w:hAnsi="Times New Roman" w:cs="Times New Roman"/>
          <w:i w:val="0"/>
          <w:color w:val="auto"/>
        </w:rPr>
        <w:t>veeseaduse viited. T</w:t>
      </w:r>
      <w:r w:rsidRPr="00685741">
        <w:rPr>
          <w:rFonts w:ascii="Times New Roman" w:hAnsi="Times New Roman" w:cs="Times New Roman"/>
          <w:i w:val="0"/>
          <w:color w:val="auto"/>
        </w:rPr>
        <w:t xml:space="preserve">oetatav tegevus </w:t>
      </w:r>
      <w:r>
        <w:rPr>
          <w:rFonts w:ascii="Times New Roman" w:hAnsi="Times New Roman" w:cs="Times New Roman"/>
          <w:i w:val="0"/>
          <w:color w:val="auto"/>
        </w:rPr>
        <w:t xml:space="preserve">peab olema </w:t>
      </w:r>
      <w:r w:rsidRPr="00685741">
        <w:rPr>
          <w:rFonts w:ascii="Times New Roman" w:hAnsi="Times New Roman" w:cs="Times New Roman"/>
          <w:i w:val="0"/>
          <w:color w:val="auto"/>
        </w:rPr>
        <w:t xml:space="preserve">vastavuses </w:t>
      </w:r>
      <w:r w:rsidRPr="00E97565">
        <w:rPr>
          <w:rFonts w:ascii="Times New Roman" w:hAnsi="Times New Roman" w:cs="Times New Roman"/>
          <w:i w:val="0"/>
          <w:color w:val="auto"/>
        </w:rPr>
        <w:t xml:space="preserve">veeseaduse §-des 32 ja 34 sätestatud </w:t>
      </w:r>
      <w:r w:rsidR="00131612">
        <w:rPr>
          <w:rFonts w:ascii="Times New Roman" w:hAnsi="Times New Roman" w:cs="Times New Roman"/>
          <w:i w:val="0"/>
          <w:color w:val="auto"/>
        </w:rPr>
        <w:t xml:space="preserve">pinnavee ja põhjavee kaitse </w:t>
      </w:r>
      <w:r w:rsidRPr="00E97565">
        <w:rPr>
          <w:rFonts w:ascii="Times New Roman" w:hAnsi="Times New Roman" w:cs="Times New Roman"/>
          <w:i w:val="0"/>
          <w:color w:val="auto"/>
        </w:rPr>
        <w:t>eesmär</w:t>
      </w:r>
      <w:r>
        <w:rPr>
          <w:rFonts w:ascii="Times New Roman" w:hAnsi="Times New Roman" w:cs="Times New Roman"/>
          <w:i w:val="0"/>
          <w:color w:val="auto"/>
        </w:rPr>
        <w:t>kidega</w:t>
      </w:r>
      <w:r w:rsidRPr="00E97565">
        <w:rPr>
          <w:rFonts w:ascii="Times New Roman" w:hAnsi="Times New Roman" w:cs="Times New Roman"/>
          <w:i w:val="0"/>
          <w:color w:val="auto"/>
        </w:rPr>
        <w:t>.</w:t>
      </w:r>
      <w:r>
        <w:rPr>
          <w:rFonts w:ascii="Times New Roman" w:hAnsi="Times New Roman" w:cs="Times New Roman"/>
          <w:i w:val="0"/>
          <w:color w:val="auto"/>
        </w:rPr>
        <w:t xml:space="preserve"> </w:t>
      </w:r>
      <w:r w:rsidRPr="00977440">
        <w:rPr>
          <w:rFonts w:ascii="Times New Roman" w:hAnsi="Times New Roman" w:cs="Times New Roman"/>
          <w:i w:val="0"/>
          <w:color w:val="auto"/>
        </w:rPr>
        <w:t>Eelnõuga tehtud muudatu</w:t>
      </w:r>
      <w:r>
        <w:rPr>
          <w:rFonts w:ascii="Times New Roman" w:hAnsi="Times New Roman" w:cs="Times New Roman"/>
          <w:i w:val="0"/>
          <w:color w:val="auto"/>
        </w:rPr>
        <w:t>sed</w:t>
      </w:r>
      <w:r w:rsidRPr="00977440">
        <w:rPr>
          <w:rFonts w:ascii="Times New Roman" w:hAnsi="Times New Roman" w:cs="Times New Roman"/>
          <w:i w:val="0"/>
          <w:color w:val="auto"/>
        </w:rPr>
        <w:t xml:space="preserve"> ei too kaasa muudatusi </w:t>
      </w:r>
      <w:r>
        <w:rPr>
          <w:rFonts w:ascii="Times New Roman" w:hAnsi="Times New Roman" w:cs="Times New Roman"/>
          <w:i w:val="0"/>
          <w:color w:val="auto"/>
        </w:rPr>
        <w:t>t</w:t>
      </w:r>
      <w:r w:rsidRPr="00685741">
        <w:rPr>
          <w:rFonts w:ascii="Times New Roman" w:hAnsi="Times New Roman" w:cs="Times New Roman"/>
          <w:i w:val="0"/>
          <w:color w:val="auto"/>
        </w:rPr>
        <w:t>oetatav</w:t>
      </w:r>
      <w:r>
        <w:rPr>
          <w:rFonts w:ascii="Times New Roman" w:hAnsi="Times New Roman" w:cs="Times New Roman"/>
          <w:i w:val="0"/>
          <w:color w:val="auto"/>
        </w:rPr>
        <w:t>a</w:t>
      </w:r>
      <w:r w:rsidRPr="00685741">
        <w:rPr>
          <w:rFonts w:ascii="Times New Roman" w:hAnsi="Times New Roman" w:cs="Times New Roman"/>
          <w:i w:val="0"/>
          <w:color w:val="auto"/>
        </w:rPr>
        <w:t xml:space="preserve"> tegevus</w:t>
      </w:r>
      <w:r>
        <w:rPr>
          <w:rFonts w:ascii="Times New Roman" w:hAnsi="Times New Roman" w:cs="Times New Roman"/>
          <w:i w:val="0"/>
          <w:color w:val="auto"/>
        </w:rPr>
        <w:t>e nõuetes.</w:t>
      </w:r>
    </w:p>
    <w:p w14:paraId="62A8B61F" w14:textId="77777777" w:rsidR="00635068" w:rsidRPr="00F53F51" w:rsidRDefault="00635068">
      <w:pPr>
        <w:jc w:val="both"/>
        <w:rPr>
          <w:b/>
          <w:bCs/>
        </w:rPr>
      </w:pPr>
    </w:p>
    <w:p w14:paraId="78C48191" w14:textId="5B18D17F" w:rsidR="00635068" w:rsidRPr="00F53F51" w:rsidRDefault="00635068">
      <w:pPr>
        <w:jc w:val="both"/>
        <w:rPr>
          <w:b/>
          <w:bCs/>
        </w:rPr>
      </w:pPr>
      <w:r w:rsidRPr="00F53F51">
        <w:rPr>
          <w:b/>
          <w:bCs/>
        </w:rPr>
        <w:t xml:space="preserve">Eelnõu § 3 punktiga 3 </w:t>
      </w:r>
      <w:r w:rsidRPr="00F53F51">
        <w:rPr>
          <w:bCs/>
        </w:rPr>
        <w:t xml:space="preserve">muudetakse määruse </w:t>
      </w:r>
      <w:r w:rsidR="00B121CB" w:rsidRPr="00F53F51">
        <w:t xml:space="preserve">nr 26 </w:t>
      </w:r>
      <w:r w:rsidRPr="00F53F51">
        <w:rPr>
          <w:bCs/>
        </w:rPr>
        <w:t>§ 3 lõiget 3</w:t>
      </w:r>
      <w:r w:rsidR="00AD1771" w:rsidRPr="00F53F51">
        <w:rPr>
          <w:bCs/>
        </w:rPr>
        <w:t xml:space="preserve"> ning lisatakse erand, et</w:t>
      </w:r>
      <w:r w:rsidRPr="00F53F51">
        <w:rPr>
          <w:bCs/>
        </w:rPr>
        <w:t xml:space="preserve"> uuend</w:t>
      </w:r>
      <w:r w:rsidR="00AD1771" w:rsidRPr="00F53F51">
        <w:rPr>
          <w:bCs/>
        </w:rPr>
        <w:t>amise</w:t>
      </w:r>
      <w:r w:rsidRPr="00F53F51">
        <w:rPr>
          <w:bCs/>
        </w:rPr>
        <w:t xml:space="preserve"> projekteerimistöö</w:t>
      </w:r>
      <w:r w:rsidRPr="00F53F51" w:rsidDel="00D13E4C">
        <w:rPr>
          <w:bCs/>
        </w:rPr>
        <w:t xml:space="preserve"> </w:t>
      </w:r>
      <w:r w:rsidRPr="00F53F51">
        <w:rPr>
          <w:bCs/>
        </w:rPr>
        <w:t xml:space="preserve">tegemist tõendavad dokumendid </w:t>
      </w:r>
      <w:r w:rsidR="00AD1771" w:rsidRPr="00F53F51">
        <w:rPr>
          <w:bCs/>
        </w:rPr>
        <w:t xml:space="preserve">võivad </w:t>
      </w:r>
      <w:r w:rsidRPr="00F53F51">
        <w:rPr>
          <w:bCs/>
        </w:rPr>
        <w:t xml:space="preserve">olla väljastatud </w:t>
      </w:r>
      <w:r w:rsidR="00AC3BF8" w:rsidRPr="00F53F51">
        <w:rPr>
          <w:bCs/>
        </w:rPr>
        <w:t xml:space="preserve">ka </w:t>
      </w:r>
      <w:r w:rsidRPr="00F53F51">
        <w:rPr>
          <w:bCs/>
        </w:rPr>
        <w:t>varem kui</w:t>
      </w:r>
      <w:r w:rsidR="00AD1771" w:rsidRPr="00F53F51">
        <w:rPr>
          <w:bCs/>
        </w:rPr>
        <w:t xml:space="preserve"> PTA</w:t>
      </w:r>
      <w:r w:rsidR="003315F8">
        <w:rPr>
          <w:bCs/>
        </w:rPr>
        <w:t xml:space="preserve"> poolt</w:t>
      </w:r>
      <w:r w:rsidRPr="00F53F51">
        <w:rPr>
          <w:bCs/>
        </w:rPr>
        <w:t xml:space="preserve"> </w:t>
      </w:r>
      <w:r w:rsidR="00AD1771" w:rsidRPr="00F53F51">
        <w:t>taotluse esitamise päevale järgneval päeval</w:t>
      </w:r>
      <w:r w:rsidR="003315F8">
        <w:t xml:space="preserve">. Samas ei tohi dokumendid olla väljastatud </w:t>
      </w:r>
      <w:r w:rsidR="00AC3BF8" w:rsidRPr="00F53F51">
        <w:t>varem</w:t>
      </w:r>
      <w:r w:rsidR="00AD1771" w:rsidRPr="00F53F51">
        <w:t xml:space="preserve"> kui 2014. aasta 1. jaanuaril</w:t>
      </w:r>
      <w:r w:rsidR="00F53F51" w:rsidRPr="00F53F51">
        <w:t xml:space="preserve">, sest </w:t>
      </w:r>
      <w:r w:rsidR="00D77EA0" w:rsidRPr="00F53F51">
        <w:rPr>
          <w:bCs/>
        </w:rPr>
        <w:t>ühissätete määruse</w:t>
      </w:r>
      <w:r w:rsidRPr="00F53F51">
        <w:rPr>
          <w:bCs/>
        </w:rPr>
        <w:t xml:space="preserve"> artikli </w:t>
      </w:r>
      <w:r w:rsidR="00CA120D" w:rsidRPr="00F53F51">
        <w:rPr>
          <w:bCs/>
        </w:rPr>
        <w:t>65 lõike</w:t>
      </w:r>
      <w:r w:rsidR="00F53F51" w:rsidRPr="00F53F51">
        <w:rPr>
          <w:bCs/>
        </w:rPr>
        <w:t xml:space="preserve"> 2 kohaselt on </w:t>
      </w:r>
      <w:r w:rsidR="00F53F51" w:rsidRPr="0029763B">
        <w:rPr>
          <w:shd w:val="clear" w:color="auto" w:fill="FFFFFF"/>
        </w:rPr>
        <w:t>kulud EAFRDist toetuse saamiseks abikõlblikud ainult juhul, kui makseasutus maksab asjaomase abi tegelikult välja ajavahemikus 1. jaanuarist 2014 kuni 31. detsembrini 2023</w:t>
      </w:r>
      <w:r w:rsidR="00CA120D" w:rsidRPr="00F53F51">
        <w:rPr>
          <w:bCs/>
        </w:rPr>
        <w:t>.</w:t>
      </w:r>
    </w:p>
    <w:p w14:paraId="65BFEE99" w14:textId="77777777" w:rsidR="00CA120D" w:rsidRDefault="00CA120D">
      <w:pPr>
        <w:jc w:val="both"/>
        <w:rPr>
          <w:b/>
          <w:bCs/>
        </w:rPr>
      </w:pPr>
    </w:p>
    <w:p w14:paraId="25AB890B" w14:textId="78476378" w:rsidR="00635068" w:rsidRPr="00104D85" w:rsidRDefault="00635068">
      <w:pPr>
        <w:jc w:val="both"/>
        <w:rPr>
          <w:b/>
          <w:bCs/>
        </w:rPr>
      </w:pPr>
      <w:r w:rsidRPr="00104D85">
        <w:rPr>
          <w:b/>
          <w:bCs/>
        </w:rPr>
        <w:t xml:space="preserve">Eelnõu </w:t>
      </w:r>
      <w:r>
        <w:rPr>
          <w:b/>
          <w:bCs/>
        </w:rPr>
        <w:t xml:space="preserve">§ 3 </w:t>
      </w:r>
      <w:r w:rsidRPr="00104D85">
        <w:rPr>
          <w:b/>
          <w:bCs/>
        </w:rPr>
        <w:t>punkti</w:t>
      </w:r>
      <w:r>
        <w:rPr>
          <w:b/>
          <w:bCs/>
        </w:rPr>
        <w:t>ga</w:t>
      </w:r>
      <w:r w:rsidRPr="00104D85">
        <w:rPr>
          <w:b/>
          <w:bCs/>
        </w:rPr>
        <w:t xml:space="preserve"> </w:t>
      </w:r>
      <w:r>
        <w:rPr>
          <w:b/>
          <w:bCs/>
        </w:rPr>
        <w:t>5</w:t>
      </w:r>
      <w:r w:rsidRPr="00104D85">
        <w:rPr>
          <w:b/>
          <w:bCs/>
        </w:rPr>
        <w:t xml:space="preserve"> </w:t>
      </w:r>
      <w:r w:rsidRPr="00104D85">
        <w:rPr>
          <w:bCs/>
        </w:rPr>
        <w:t xml:space="preserve">muudetakse määruse </w:t>
      </w:r>
      <w:r w:rsidR="00B121CB">
        <w:t xml:space="preserve">nr 26 </w:t>
      </w:r>
      <w:r w:rsidRPr="00104D85">
        <w:rPr>
          <w:bCs/>
        </w:rPr>
        <w:t>§ 5 lõi</w:t>
      </w:r>
      <w:r>
        <w:rPr>
          <w:bCs/>
        </w:rPr>
        <w:t>ke</w:t>
      </w:r>
      <w:r w:rsidRPr="00104D85">
        <w:rPr>
          <w:bCs/>
        </w:rPr>
        <w:t xml:space="preserve"> 4</w:t>
      </w:r>
      <w:r>
        <w:rPr>
          <w:bCs/>
        </w:rPr>
        <w:t xml:space="preserve"> punkti 9</w:t>
      </w:r>
      <w:r w:rsidRPr="00104D85">
        <w:rPr>
          <w:bCs/>
        </w:rPr>
        <w:t>. Muudatuse kohaselt võib edaspidi olla toetatava tegevuse osaks ka toeta</w:t>
      </w:r>
      <w:r w:rsidR="004B5136">
        <w:rPr>
          <w:bCs/>
        </w:rPr>
        <w:t>ta</w:t>
      </w:r>
      <w:r w:rsidRPr="00104D85">
        <w:rPr>
          <w:bCs/>
        </w:rPr>
        <w:t xml:space="preserve">va tegevusega seotud </w:t>
      </w:r>
      <w:r w:rsidRPr="00D13E4C">
        <w:rPr>
          <w:bCs/>
        </w:rPr>
        <w:t>uuend</w:t>
      </w:r>
      <w:r>
        <w:rPr>
          <w:bCs/>
        </w:rPr>
        <w:t>amise</w:t>
      </w:r>
      <w:r w:rsidRPr="00D13E4C">
        <w:rPr>
          <w:bCs/>
        </w:rPr>
        <w:t xml:space="preserve"> projekteerimistöö</w:t>
      </w:r>
      <w:r w:rsidRPr="00104D85">
        <w:rPr>
          <w:bCs/>
        </w:rPr>
        <w:t>.</w:t>
      </w:r>
      <w:r>
        <w:rPr>
          <w:bCs/>
        </w:rPr>
        <w:t xml:space="preserve"> Muudatusega viiakse säte kooskõlla eelnõu </w:t>
      </w:r>
      <w:r w:rsidR="00B24C0B">
        <w:rPr>
          <w:bCs/>
        </w:rPr>
        <w:t xml:space="preserve">§ 3 </w:t>
      </w:r>
      <w:r>
        <w:rPr>
          <w:bCs/>
        </w:rPr>
        <w:t xml:space="preserve">punktis 1 tehtud muudatusega. </w:t>
      </w:r>
      <w:r w:rsidRPr="00104D85">
        <w:rPr>
          <w:bCs/>
        </w:rPr>
        <w:t xml:space="preserve">Mitteabikõlblikuks kuluks </w:t>
      </w:r>
      <w:r>
        <w:rPr>
          <w:bCs/>
        </w:rPr>
        <w:t>jäävad</w:t>
      </w:r>
      <w:r w:rsidRPr="00104D85">
        <w:rPr>
          <w:bCs/>
        </w:rPr>
        <w:t xml:space="preserve"> aga endiselt d</w:t>
      </w:r>
      <w:r w:rsidRPr="00104D85">
        <w:t>etail- ja teemaplaneeringute tegemise</w:t>
      </w:r>
      <w:r w:rsidR="00B24C0B">
        <w:t xml:space="preserve"> </w:t>
      </w:r>
      <w:r w:rsidRPr="00104D85">
        <w:t>kulu</w:t>
      </w:r>
      <w:r w:rsidR="00B24C0B">
        <w:t>d</w:t>
      </w:r>
      <w:r w:rsidRPr="00104D85">
        <w:t>.</w:t>
      </w:r>
    </w:p>
    <w:p w14:paraId="40B53E18" w14:textId="77777777" w:rsidR="00635068" w:rsidRPr="00104D85" w:rsidRDefault="00635068">
      <w:pPr>
        <w:jc w:val="both"/>
        <w:rPr>
          <w:b/>
          <w:bCs/>
        </w:rPr>
      </w:pPr>
    </w:p>
    <w:p w14:paraId="6307526B" w14:textId="7C42D35C" w:rsidR="00A371E6" w:rsidRDefault="00635068">
      <w:pPr>
        <w:adjustRightInd w:val="0"/>
        <w:jc w:val="both"/>
      </w:pPr>
      <w:r w:rsidRPr="00956624">
        <w:rPr>
          <w:b/>
          <w:bCs/>
        </w:rPr>
        <w:t xml:space="preserve">Eelnõu </w:t>
      </w:r>
      <w:r>
        <w:rPr>
          <w:b/>
          <w:bCs/>
        </w:rPr>
        <w:t xml:space="preserve">§ 3 </w:t>
      </w:r>
      <w:r w:rsidRPr="00956624">
        <w:rPr>
          <w:b/>
          <w:bCs/>
        </w:rPr>
        <w:t>punkti</w:t>
      </w:r>
      <w:r>
        <w:rPr>
          <w:b/>
          <w:bCs/>
        </w:rPr>
        <w:t>ga</w:t>
      </w:r>
      <w:r w:rsidRPr="00956624">
        <w:rPr>
          <w:b/>
          <w:bCs/>
        </w:rPr>
        <w:t xml:space="preserve"> </w:t>
      </w:r>
      <w:r>
        <w:rPr>
          <w:b/>
          <w:bCs/>
        </w:rPr>
        <w:t>6</w:t>
      </w:r>
      <w:r w:rsidRPr="00956624">
        <w:t xml:space="preserve"> </w:t>
      </w:r>
      <w:r w:rsidRPr="004D1A25">
        <w:t xml:space="preserve">tunnistatakse kehtetuks määruse </w:t>
      </w:r>
      <w:r w:rsidR="00B121CB">
        <w:t xml:space="preserve">nr 26 </w:t>
      </w:r>
      <w:r w:rsidRPr="004D1A25">
        <w:t xml:space="preserve">§ </w:t>
      </w:r>
      <w:r>
        <w:t>9</w:t>
      </w:r>
      <w:r w:rsidRPr="004D1A25">
        <w:t xml:space="preserve"> lõike </w:t>
      </w:r>
      <w:r>
        <w:t>1</w:t>
      </w:r>
      <w:r w:rsidRPr="004D1A25">
        <w:t xml:space="preserve"> punkt </w:t>
      </w:r>
      <w:r>
        <w:t>4</w:t>
      </w:r>
      <w:r w:rsidRPr="004D1A25">
        <w:t xml:space="preserve">. </w:t>
      </w:r>
      <w:r w:rsidRPr="00595219">
        <w:t xml:space="preserve">Muudatuse tulemusel </w:t>
      </w:r>
      <w:r w:rsidRPr="00743079">
        <w:t xml:space="preserve">ei kohaldu enam </w:t>
      </w:r>
      <w:r>
        <w:t xml:space="preserve">PTA-le nõue </w:t>
      </w:r>
      <w:r w:rsidRPr="00743079">
        <w:t>esitada koos toetuse avaldusega uuendusprojekt, kui see ei ole hankedokumendi osa. Muudatus</w:t>
      </w:r>
      <w:r>
        <w:t xml:space="preserve"> loob paindlikumad võimalused ja </w:t>
      </w:r>
      <w:r w:rsidRPr="007F4EAE">
        <w:t>võimalda</w:t>
      </w:r>
      <w:r w:rsidR="00A371E6">
        <w:t>b</w:t>
      </w:r>
      <w:r>
        <w:t xml:space="preserve"> </w:t>
      </w:r>
      <w:r w:rsidRPr="007F4EAE">
        <w:t>PTA-l</w:t>
      </w:r>
      <w:r w:rsidRPr="007F4EAE" w:rsidDel="00595219">
        <w:t xml:space="preserve"> </w:t>
      </w:r>
      <w:r>
        <w:t xml:space="preserve">esitada </w:t>
      </w:r>
      <w:r w:rsidRPr="00104D85">
        <w:t xml:space="preserve">ühiseesvoolude uuendamiseks </w:t>
      </w:r>
      <w:r w:rsidRPr="00743079">
        <w:t>toetuse avaldus</w:t>
      </w:r>
      <w:r w:rsidR="00A371E6">
        <w:t>e</w:t>
      </w:r>
      <w:r>
        <w:t xml:space="preserve"> ka siis, kui </w:t>
      </w:r>
      <w:r w:rsidRPr="009C62FA">
        <w:t>uuendusprojekt</w:t>
      </w:r>
      <w:r>
        <w:t xml:space="preserve"> ei ole lõplikult valminud, kuid riigihankega on alustatud enne toetuse taotluse esitamist. U</w:t>
      </w:r>
      <w:r w:rsidRPr="00743079">
        <w:t>uendusprojekt</w:t>
      </w:r>
      <w:r>
        <w:t>i koostamiseks peab PTA</w:t>
      </w:r>
      <w:r w:rsidRPr="00C45361">
        <w:t xml:space="preserve"> </w:t>
      </w:r>
      <w:r w:rsidRPr="005F52DE">
        <w:t>järgima riigihangete seaduses sätestatud n</w:t>
      </w:r>
      <w:r w:rsidRPr="00C45361">
        <w:t>õudeid</w:t>
      </w:r>
      <w:r>
        <w:t xml:space="preserve">. PTA esitab koos avaldusega andmed </w:t>
      </w:r>
      <w:r w:rsidR="00962500">
        <w:t>elluviidud</w:t>
      </w:r>
      <w:r>
        <w:t xml:space="preserve"> uuendusprojekti </w:t>
      </w:r>
      <w:r w:rsidRPr="005A0AF7">
        <w:t>riigihan</w:t>
      </w:r>
      <w:r w:rsidRPr="00F11E18">
        <w:t>ke</w:t>
      </w:r>
      <w:r>
        <w:t xml:space="preserve"> kohta.</w:t>
      </w:r>
      <w:r w:rsidRPr="003F086D">
        <w:t xml:space="preserve"> </w:t>
      </w:r>
      <w:r>
        <w:t xml:space="preserve">Uuendusprojekti abikõlblikuks maksumuseks on riigihankes kujunenud hind, mis lisatakse abikõlbliku toetatava tegevuse maksumuse juurde. </w:t>
      </w:r>
      <w:r w:rsidRPr="00B54C74">
        <w:t xml:space="preserve">Kui uuendusprojekti </w:t>
      </w:r>
      <w:r w:rsidR="00962500" w:rsidRPr="00B54C74">
        <w:t>riigihan</w:t>
      </w:r>
      <w:r w:rsidR="00962500">
        <w:t>k</w:t>
      </w:r>
      <w:r w:rsidR="00962500" w:rsidRPr="00B54C74">
        <w:t>e</w:t>
      </w:r>
      <w:r w:rsidRPr="00B54C74">
        <w:t xml:space="preserve"> leping</w:t>
      </w:r>
      <w:r w:rsidR="00095EE0">
        <w:t xml:space="preserve"> täidetakse</w:t>
      </w:r>
      <w:r w:rsidRPr="00B54C74">
        <w:t xml:space="preserve"> pärast taotluse esitamist, siis peab PTA esitama uuendustöö eeldatava kalkulatsiooni koos põhjendustega. Kalkulatsioonis kavandatakse uuendustöö eeldatav maksumus, kasutades PTA koostatud eelarvet</w:t>
      </w:r>
      <w:r>
        <w:t>.</w:t>
      </w:r>
      <w:r w:rsidRPr="003F086D">
        <w:t xml:space="preserve"> </w:t>
      </w:r>
    </w:p>
    <w:p w14:paraId="224DCC78" w14:textId="77777777" w:rsidR="00F41D4C" w:rsidRDefault="00F41D4C">
      <w:pPr>
        <w:adjustRightInd w:val="0"/>
        <w:jc w:val="both"/>
      </w:pPr>
    </w:p>
    <w:p w14:paraId="2AB37CFD" w14:textId="740E012D" w:rsidR="00F41D4C" w:rsidRDefault="00F41D4C">
      <w:pPr>
        <w:adjustRightInd w:val="0"/>
        <w:jc w:val="both"/>
      </w:pPr>
      <w:r w:rsidRPr="00F41D4C">
        <w:rPr>
          <w:b/>
        </w:rPr>
        <w:t xml:space="preserve">Eelnõu § 3 punktiga </w:t>
      </w:r>
      <w:r w:rsidR="009E2AAC">
        <w:rPr>
          <w:b/>
        </w:rPr>
        <w:t>7</w:t>
      </w:r>
      <w:r w:rsidR="009E2AAC">
        <w:t xml:space="preserve"> </w:t>
      </w:r>
      <w:r>
        <w:t xml:space="preserve">parandatakse viide, </w:t>
      </w:r>
      <w:r w:rsidR="009E2AAC">
        <w:t>sest</w:t>
      </w:r>
      <w:r>
        <w:t xml:space="preserve"> 2019. a</w:t>
      </w:r>
      <w:r w:rsidR="00164D32">
        <w:t>astal</w:t>
      </w:r>
      <w:r>
        <w:t xml:space="preserve"> jõustus uus maaparandusseadus. P</w:t>
      </w:r>
      <w:r w:rsidRPr="00F41D4C">
        <w:t>äras</w:t>
      </w:r>
      <w:r>
        <w:t>t uuendustööde tegemist peab</w:t>
      </w:r>
      <w:r w:rsidR="00E8141E">
        <w:t xml:space="preserve"> toetuse saaja tagama, et</w:t>
      </w:r>
      <w:r>
        <w:t xml:space="preserve"> </w:t>
      </w:r>
      <w:r w:rsidRPr="00F41D4C">
        <w:t>ühiseesvool</w:t>
      </w:r>
      <w:r>
        <w:t xml:space="preserve"> vasta</w:t>
      </w:r>
      <w:r w:rsidR="00E8141E">
        <w:t>b</w:t>
      </w:r>
      <w:r>
        <w:t xml:space="preserve"> maaparandusseaduse § 5</w:t>
      </w:r>
      <w:r w:rsidRPr="00F41D4C">
        <w:t xml:space="preserve"> lõikes 2 </w:t>
      </w:r>
      <w:r w:rsidRPr="00164D32">
        <w:t>sätestatud nõuetele</w:t>
      </w:r>
      <w:r w:rsidR="00164D32" w:rsidRPr="00164D32">
        <w:t xml:space="preserve">, mille kohaselt </w:t>
      </w:r>
      <w:r w:rsidR="00164D32" w:rsidRPr="0029763B">
        <w:rPr>
          <w:color w:val="202020"/>
          <w:shd w:val="clear" w:color="auto" w:fill="FFFFFF"/>
        </w:rPr>
        <w:t>peab eesvool tagama liigvee äravoolu kuivendusvõrgust või vee juurdevoolu niisutusvõrku</w:t>
      </w:r>
      <w:r w:rsidRPr="00164D32">
        <w:t>.</w:t>
      </w:r>
    </w:p>
    <w:p w14:paraId="09B32FF7" w14:textId="77777777" w:rsidR="00CE0889" w:rsidRDefault="00CE0889">
      <w:pPr>
        <w:adjustRightInd w:val="0"/>
        <w:jc w:val="both"/>
        <w:rPr>
          <w:b/>
          <w:bCs/>
        </w:rPr>
      </w:pPr>
    </w:p>
    <w:p w14:paraId="696B82BD" w14:textId="71A217CD" w:rsidR="00635068" w:rsidRDefault="00635068">
      <w:pPr>
        <w:jc w:val="both"/>
        <w:rPr>
          <w:bCs/>
        </w:rPr>
      </w:pPr>
      <w:r>
        <w:rPr>
          <w:b/>
          <w:bCs/>
        </w:rPr>
        <w:t xml:space="preserve">Eelnõu § </w:t>
      </w:r>
      <w:r w:rsidRPr="00BD2B59">
        <w:rPr>
          <w:b/>
        </w:rPr>
        <w:t>3 punkti</w:t>
      </w:r>
      <w:r w:rsidR="00060316">
        <w:rPr>
          <w:b/>
        </w:rPr>
        <w:t>dega</w:t>
      </w:r>
      <w:r w:rsidRPr="00104D85">
        <w:rPr>
          <w:b/>
          <w:bCs/>
        </w:rPr>
        <w:t xml:space="preserve"> </w:t>
      </w:r>
      <w:r w:rsidR="00F41D4C">
        <w:rPr>
          <w:b/>
          <w:bCs/>
        </w:rPr>
        <w:t>9</w:t>
      </w:r>
      <w:r w:rsidRPr="00104D85">
        <w:rPr>
          <w:b/>
          <w:bCs/>
        </w:rPr>
        <w:t xml:space="preserve"> </w:t>
      </w:r>
      <w:r w:rsidR="00060316">
        <w:rPr>
          <w:b/>
          <w:bCs/>
        </w:rPr>
        <w:t xml:space="preserve">ja </w:t>
      </w:r>
      <w:r w:rsidR="00F41D4C">
        <w:rPr>
          <w:b/>
          <w:bCs/>
        </w:rPr>
        <w:t>10</w:t>
      </w:r>
      <w:r w:rsidR="00060316">
        <w:rPr>
          <w:b/>
          <w:bCs/>
        </w:rPr>
        <w:t xml:space="preserve"> </w:t>
      </w:r>
      <w:r w:rsidRPr="00E97565">
        <w:rPr>
          <w:bCs/>
        </w:rPr>
        <w:t xml:space="preserve">muudetakse määruse </w:t>
      </w:r>
      <w:r w:rsidR="00B121CB">
        <w:t xml:space="preserve">nr 26 </w:t>
      </w:r>
      <w:r w:rsidRPr="00E97565">
        <w:rPr>
          <w:bCs/>
        </w:rPr>
        <w:t>§ 16 lõi</w:t>
      </w:r>
      <w:r w:rsidR="00060316">
        <w:rPr>
          <w:bCs/>
        </w:rPr>
        <w:t>gete</w:t>
      </w:r>
      <w:r w:rsidRPr="00E97565">
        <w:rPr>
          <w:bCs/>
        </w:rPr>
        <w:t xml:space="preserve"> 2</w:t>
      </w:r>
      <w:r w:rsidR="00060316">
        <w:rPr>
          <w:bCs/>
        </w:rPr>
        <w:t xml:space="preserve"> ja 3</w:t>
      </w:r>
      <w:r w:rsidRPr="00E97565">
        <w:rPr>
          <w:bCs/>
        </w:rPr>
        <w:t xml:space="preserve"> s</w:t>
      </w:r>
      <w:r w:rsidRPr="00510417">
        <w:rPr>
          <w:bCs/>
        </w:rPr>
        <w:t xml:space="preserve">õnastust. </w:t>
      </w:r>
      <w:r w:rsidR="00060316">
        <w:rPr>
          <w:bCs/>
        </w:rPr>
        <w:t>Paragrahv</w:t>
      </w:r>
      <w:r w:rsidR="00850D9E">
        <w:rPr>
          <w:bCs/>
        </w:rPr>
        <w:t>i </w:t>
      </w:r>
      <w:r w:rsidR="00060316">
        <w:rPr>
          <w:bCs/>
        </w:rPr>
        <w:t xml:space="preserve">16 lõige 2 reguleerib PRIA poolt </w:t>
      </w:r>
      <w:r w:rsidR="000460C3">
        <w:rPr>
          <w:bCs/>
        </w:rPr>
        <w:t xml:space="preserve">toetuse </w:t>
      </w:r>
      <w:r w:rsidR="00060316">
        <w:rPr>
          <w:bCs/>
        </w:rPr>
        <w:t>maksmise otsuse tegemist, mistõttu jäetakse sellest lõikest välja teine lause, mis reguleerib olukorda, kui kulutusi ei hüvitata</w:t>
      </w:r>
      <w:r w:rsidR="000460C3">
        <w:rPr>
          <w:bCs/>
        </w:rPr>
        <w:t xml:space="preserve"> (ekslikult kehtestatud olemuslikult mittesobivasse lõikesse)</w:t>
      </w:r>
      <w:r w:rsidR="00060316">
        <w:rPr>
          <w:bCs/>
        </w:rPr>
        <w:t>. Paragrahv</w:t>
      </w:r>
      <w:r w:rsidR="0064751F">
        <w:rPr>
          <w:bCs/>
        </w:rPr>
        <w:t>i</w:t>
      </w:r>
      <w:r w:rsidR="00060316">
        <w:rPr>
          <w:bCs/>
        </w:rPr>
        <w:t xml:space="preserve"> § 16 lõige 3 reguleerib PRIA</w:t>
      </w:r>
      <w:r w:rsidR="000460C3">
        <w:rPr>
          <w:bCs/>
        </w:rPr>
        <w:t xml:space="preserve"> poolt toetuse maksmisest keeldumise otsuse tegemist</w:t>
      </w:r>
      <w:r w:rsidR="00060316">
        <w:rPr>
          <w:bCs/>
        </w:rPr>
        <w:t>, mistõttu lisatakse</w:t>
      </w:r>
      <w:r w:rsidR="000460C3">
        <w:rPr>
          <w:bCs/>
        </w:rPr>
        <w:t xml:space="preserve"> sinna</w:t>
      </w:r>
      <w:r w:rsidR="00060316">
        <w:rPr>
          <w:bCs/>
        </w:rPr>
        <w:t xml:space="preserve"> teise lausena</w:t>
      </w:r>
      <w:r w:rsidR="00060316">
        <w:rPr>
          <w:color w:val="202020"/>
          <w:shd w:val="clear" w:color="auto" w:fill="FFFFFF"/>
        </w:rPr>
        <w:t>, et s</w:t>
      </w:r>
      <w:r w:rsidR="00060316" w:rsidRPr="00785E59">
        <w:rPr>
          <w:color w:val="202020"/>
          <w:shd w:val="clear" w:color="auto" w:fill="FFFFFF"/>
        </w:rPr>
        <w:t xml:space="preserve">ellisel juhul ei hüvitata toetuse saajale ka ettevalmistavale tööle ja </w:t>
      </w:r>
      <w:r w:rsidR="00060316" w:rsidRPr="00785E59">
        <w:t>uuendamise projekteerimistööle</w:t>
      </w:r>
      <w:r w:rsidR="00060316" w:rsidRPr="00785E59">
        <w:rPr>
          <w:color w:val="202020"/>
          <w:shd w:val="clear" w:color="auto" w:fill="FFFFFF"/>
        </w:rPr>
        <w:t xml:space="preserve"> tehtud kulutusi</w:t>
      </w:r>
      <w:r w:rsidR="00060316">
        <w:rPr>
          <w:bCs/>
        </w:rPr>
        <w:t xml:space="preserve">. </w:t>
      </w:r>
      <w:r>
        <w:rPr>
          <w:bCs/>
        </w:rPr>
        <w:t>S</w:t>
      </w:r>
      <w:r w:rsidR="00060316">
        <w:rPr>
          <w:bCs/>
        </w:rPr>
        <w:t>ee tähendab, et s</w:t>
      </w:r>
      <w:r>
        <w:rPr>
          <w:bCs/>
        </w:rPr>
        <w:t xml:space="preserve">arnaselt </w:t>
      </w:r>
      <w:r w:rsidR="00060316">
        <w:rPr>
          <w:bCs/>
        </w:rPr>
        <w:t>toetatava tegevuse</w:t>
      </w:r>
      <w:r w:rsidR="001705EA">
        <w:rPr>
          <w:bCs/>
        </w:rPr>
        <w:t>ga</w:t>
      </w:r>
      <w:r w:rsidR="00060316">
        <w:rPr>
          <w:bCs/>
        </w:rPr>
        <w:t xml:space="preserve"> </w:t>
      </w:r>
      <w:r w:rsidRPr="00E97565">
        <w:rPr>
          <w:bCs/>
        </w:rPr>
        <w:t>hüvitata</w:t>
      </w:r>
      <w:r>
        <w:rPr>
          <w:bCs/>
        </w:rPr>
        <w:t>kse</w:t>
      </w:r>
      <w:r w:rsidRPr="00E97565">
        <w:rPr>
          <w:bCs/>
        </w:rPr>
        <w:t xml:space="preserve"> </w:t>
      </w:r>
      <w:r>
        <w:rPr>
          <w:bCs/>
        </w:rPr>
        <w:t xml:space="preserve">PTA-le </w:t>
      </w:r>
      <w:r w:rsidRPr="0078333F">
        <w:rPr>
          <w:bCs/>
        </w:rPr>
        <w:t>ettevalmistava</w:t>
      </w:r>
      <w:r w:rsidR="004B5136">
        <w:rPr>
          <w:bCs/>
        </w:rPr>
        <w:t>t</w:t>
      </w:r>
      <w:r w:rsidRPr="0078333F">
        <w:rPr>
          <w:bCs/>
        </w:rPr>
        <w:t>e töö</w:t>
      </w:r>
      <w:r>
        <w:rPr>
          <w:bCs/>
        </w:rPr>
        <w:t>de maksumused</w:t>
      </w:r>
      <w:r w:rsidRPr="0078333F">
        <w:rPr>
          <w:bCs/>
        </w:rPr>
        <w:t xml:space="preserve"> üksnes siis, kui </w:t>
      </w:r>
      <w:r>
        <w:rPr>
          <w:bCs/>
        </w:rPr>
        <w:t xml:space="preserve">need </w:t>
      </w:r>
      <w:r w:rsidRPr="0078333F">
        <w:rPr>
          <w:bCs/>
        </w:rPr>
        <w:t>tegevused</w:t>
      </w:r>
      <w:r>
        <w:rPr>
          <w:bCs/>
        </w:rPr>
        <w:t xml:space="preserve"> on</w:t>
      </w:r>
      <w:r w:rsidRPr="0078333F">
        <w:rPr>
          <w:bCs/>
        </w:rPr>
        <w:t xml:space="preserve"> nõuetekohaselt ellu vii</w:t>
      </w:r>
      <w:r w:rsidR="000015F9">
        <w:rPr>
          <w:bCs/>
        </w:rPr>
        <w:t>d</w:t>
      </w:r>
      <w:r w:rsidRPr="0078333F">
        <w:rPr>
          <w:bCs/>
        </w:rPr>
        <w:t>ud.</w:t>
      </w:r>
    </w:p>
    <w:p w14:paraId="1D42558E" w14:textId="77777777" w:rsidR="00635068" w:rsidRPr="0078663E" w:rsidRDefault="00635068">
      <w:pPr>
        <w:jc w:val="both"/>
        <w:rPr>
          <w:b/>
          <w:bCs/>
        </w:rPr>
      </w:pPr>
    </w:p>
    <w:p w14:paraId="39550ED0" w14:textId="4B16C7C9" w:rsidR="007A13F1" w:rsidRDefault="002D6483">
      <w:pPr>
        <w:jc w:val="both"/>
        <w:rPr>
          <w:b/>
          <w:bCs/>
        </w:rPr>
      </w:pPr>
      <w:r w:rsidRPr="008A0C16">
        <w:rPr>
          <w:b/>
          <w:bCs/>
        </w:rPr>
        <w:t>3. Eelnõu vastavus Euroopa Liidu õigusele</w:t>
      </w:r>
    </w:p>
    <w:p w14:paraId="43FB3B8B" w14:textId="77777777" w:rsidR="000015F9" w:rsidRPr="008A0C16" w:rsidRDefault="000015F9">
      <w:pPr>
        <w:jc w:val="both"/>
        <w:rPr>
          <w:b/>
          <w:bCs/>
        </w:rPr>
      </w:pPr>
    </w:p>
    <w:p w14:paraId="735AD8E4" w14:textId="587AE1C7" w:rsidR="00D42EB9" w:rsidRPr="0078663E" w:rsidRDefault="00F26586">
      <w:pPr>
        <w:jc w:val="both"/>
        <w:rPr>
          <w:bCs/>
        </w:rPr>
      </w:pPr>
      <w:r w:rsidRPr="008A0C16">
        <w:rPr>
          <w:bCs/>
        </w:rPr>
        <w:t xml:space="preserve">Eelnõu </w:t>
      </w:r>
      <w:r w:rsidR="0078663E" w:rsidRPr="0078663E">
        <w:rPr>
          <w:bCs/>
        </w:rPr>
        <w:t>väljatöötamisel võeti aluseks 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 Euroopa Parlamendi ja nõukogu määrus (EL) nr 1305/2013 Euroopa Maaelu Arengu Põllumajandusfondist (EAFRD) antavate maaelu arengu toetuste kohta ja millega tunnistatakse kehtetuks nõukogu määrus (EÜ) nr 1698/2005 (ELT L 347, 20.12.2013, lk 487–548) ning Euroopa Parlamendi ja nõukogu määrus (EL) 2020/2220, millega kehtestatakse teatavad üleminekusätted Euroopa Maaelu Arengu Põllumajandusfondi (EAFRD) ja Euroopa Põllumajanduse Tagatisfondi (EAGF) toetuse kohta 2021. ja 2022. aastal ning muudetakse määrusi (EL) nr 1305/2013, (EL) nr 1306/2013 ning (EL) nr 1307/2013 seoses 2021. ja 2022.</w:t>
      </w:r>
      <w:r w:rsidR="0064751F">
        <w:rPr>
          <w:bCs/>
        </w:rPr>
        <w:t> </w:t>
      </w:r>
      <w:r w:rsidR="0078663E" w:rsidRPr="0078663E">
        <w:rPr>
          <w:bCs/>
        </w:rPr>
        <w:t>aastal eraldatavate vahendite ja nende määruste kohaldamisega ning määrust (EL) nr</w:t>
      </w:r>
      <w:r w:rsidR="00850D9E">
        <w:rPr>
          <w:bCs/>
        </w:rPr>
        <w:t> </w:t>
      </w:r>
      <w:r w:rsidR="0078663E" w:rsidRPr="0078663E">
        <w:rPr>
          <w:bCs/>
        </w:rPr>
        <w:t>1308/2013 seoses 2021. ja 2022. aastal eraldatavate vahendite ja sellise toetuse jaotamisega (ELT L 437, 28.12.2020, lk 1–29).</w:t>
      </w:r>
    </w:p>
    <w:p w14:paraId="4235A444" w14:textId="77777777" w:rsidR="0078663E" w:rsidRPr="0078663E" w:rsidRDefault="0078663E">
      <w:pPr>
        <w:jc w:val="both"/>
        <w:rPr>
          <w:bCs/>
        </w:rPr>
      </w:pPr>
    </w:p>
    <w:p w14:paraId="663FD186" w14:textId="7D34720C" w:rsidR="008C6920" w:rsidRDefault="0078663E">
      <w:pPr>
        <w:jc w:val="both"/>
        <w:rPr>
          <w:bCs/>
        </w:rPr>
      </w:pPr>
      <w:r w:rsidRPr="0078663E">
        <w:rPr>
          <w:bCs/>
        </w:rPr>
        <w:t xml:space="preserve">Eelnõus nimetatud Euroopa Liidu õigusaktid on kättesaadavad Euroopa Liidu Teataja veebilehel </w:t>
      </w:r>
      <w:hyperlink r:id="rId9" w:history="1">
        <w:r w:rsidRPr="00F25303">
          <w:rPr>
            <w:rStyle w:val="Hyperlink"/>
            <w:bCs/>
          </w:rPr>
          <w:t>http://eur-lex.europa.eu</w:t>
        </w:r>
      </w:hyperlink>
      <w:r w:rsidRPr="0078663E">
        <w:rPr>
          <w:bCs/>
        </w:rPr>
        <w:t>.</w:t>
      </w:r>
    </w:p>
    <w:p w14:paraId="4EB85CFB" w14:textId="77777777" w:rsidR="0078663E" w:rsidRPr="005E217C" w:rsidRDefault="0078663E">
      <w:pPr>
        <w:jc w:val="both"/>
        <w:rPr>
          <w:bCs/>
        </w:rPr>
      </w:pPr>
    </w:p>
    <w:p w14:paraId="11D3E13A" w14:textId="242BC375" w:rsidR="004D380C" w:rsidRDefault="002D6483">
      <w:pPr>
        <w:jc w:val="both"/>
        <w:rPr>
          <w:b/>
          <w:bCs/>
        </w:rPr>
      </w:pPr>
      <w:r w:rsidRPr="002E609C">
        <w:rPr>
          <w:b/>
          <w:bCs/>
        </w:rPr>
        <w:t>4. Määruse mõjud</w:t>
      </w:r>
    </w:p>
    <w:p w14:paraId="3DF63513" w14:textId="77777777" w:rsidR="008C6920" w:rsidRPr="002E609C" w:rsidRDefault="008C6920">
      <w:pPr>
        <w:jc w:val="both"/>
        <w:rPr>
          <w:b/>
          <w:bCs/>
        </w:rPr>
      </w:pPr>
    </w:p>
    <w:p w14:paraId="087431F6" w14:textId="01D80145" w:rsidR="0050579A" w:rsidRDefault="008C6920">
      <w:pPr>
        <w:jc w:val="both"/>
      </w:pPr>
      <w:r>
        <w:rPr>
          <w:bCs/>
        </w:rPr>
        <w:t>Eelnõu</w:t>
      </w:r>
      <w:r w:rsidR="002319B4" w:rsidRPr="002319B4">
        <w:rPr>
          <w:bCs/>
        </w:rPr>
        <w:t xml:space="preserve"> loob taotlejatele ja toetuse </w:t>
      </w:r>
      <w:r w:rsidR="008A01B9" w:rsidRPr="00E973D3">
        <w:rPr>
          <w:bCs/>
        </w:rPr>
        <w:t>saajatele</w:t>
      </w:r>
      <w:r w:rsidR="008A01B9">
        <w:rPr>
          <w:bCs/>
        </w:rPr>
        <w:t xml:space="preserve"> </w:t>
      </w:r>
      <w:r w:rsidR="002319B4">
        <w:rPr>
          <w:bCs/>
        </w:rPr>
        <w:t xml:space="preserve">paindlikud </w:t>
      </w:r>
      <w:r w:rsidR="0050579A">
        <w:rPr>
          <w:bCs/>
        </w:rPr>
        <w:t>võimalused, millega</w:t>
      </w:r>
      <w:r w:rsidR="002319B4">
        <w:rPr>
          <w:bCs/>
        </w:rPr>
        <w:t xml:space="preserve"> leevendatakse </w:t>
      </w:r>
      <w:r w:rsidR="002319B4" w:rsidRPr="002319B4">
        <w:rPr>
          <w:bCs/>
        </w:rPr>
        <w:t>mõningal mää</w:t>
      </w:r>
      <w:r w:rsidR="002319B4">
        <w:rPr>
          <w:bCs/>
        </w:rPr>
        <w:t>ral toetus</w:t>
      </w:r>
      <w:r>
        <w:rPr>
          <w:bCs/>
        </w:rPr>
        <w:t>t</w:t>
      </w:r>
      <w:r w:rsidR="002319B4">
        <w:rPr>
          <w:bCs/>
        </w:rPr>
        <w:t>e tingimusi, et tagada</w:t>
      </w:r>
      <w:r w:rsidR="00CE7752">
        <w:rPr>
          <w:bCs/>
        </w:rPr>
        <w:t xml:space="preserve"> paremini</w:t>
      </w:r>
      <w:r w:rsidR="002319B4">
        <w:rPr>
          <w:bCs/>
        </w:rPr>
        <w:t xml:space="preserve"> toe</w:t>
      </w:r>
      <w:r w:rsidR="0050579A">
        <w:rPr>
          <w:bCs/>
        </w:rPr>
        <w:t>tus</w:t>
      </w:r>
      <w:r>
        <w:rPr>
          <w:bCs/>
        </w:rPr>
        <w:t>t</w:t>
      </w:r>
      <w:r w:rsidR="00CE7752">
        <w:rPr>
          <w:bCs/>
        </w:rPr>
        <w:t>e eesmärkide elluviimine</w:t>
      </w:r>
      <w:r w:rsidR="002319B4">
        <w:rPr>
          <w:bCs/>
        </w:rPr>
        <w:t>.</w:t>
      </w:r>
      <w:r w:rsidR="002319B4" w:rsidRPr="002319B4">
        <w:t xml:space="preserve"> </w:t>
      </w:r>
    </w:p>
    <w:p w14:paraId="6E1F40A5" w14:textId="77777777" w:rsidR="00FE5018" w:rsidRDefault="00FE5018">
      <w:pPr>
        <w:jc w:val="both"/>
      </w:pPr>
    </w:p>
    <w:p w14:paraId="6CAD4D35" w14:textId="49DAA1F8" w:rsidR="002319B4" w:rsidRPr="002319B4" w:rsidRDefault="008C6920">
      <w:pPr>
        <w:jc w:val="both"/>
        <w:rPr>
          <w:bCs/>
        </w:rPr>
      </w:pPr>
      <w:r>
        <w:rPr>
          <w:bCs/>
        </w:rPr>
        <w:t>Eelnõu</w:t>
      </w:r>
      <w:r w:rsidRPr="002319B4">
        <w:rPr>
          <w:bCs/>
        </w:rPr>
        <w:t xml:space="preserve"> </w:t>
      </w:r>
      <w:r w:rsidR="002319B4" w:rsidRPr="002319B4">
        <w:rPr>
          <w:bCs/>
        </w:rPr>
        <w:t>muudatusega laieneb toetusõiguslik ala Harju, Rapla ja Pärnu maakonnas Rail Baltic</w:t>
      </w:r>
      <w:r>
        <w:rPr>
          <w:bCs/>
        </w:rPr>
        <w:t>u</w:t>
      </w:r>
      <w:r w:rsidR="002319B4" w:rsidRPr="002319B4">
        <w:rPr>
          <w:bCs/>
        </w:rPr>
        <w:t xml:space="preserve"> raudtee trassi koridoris asuvatele maadele, mis jäävad </w:t>
      </w:r>
      <w:r w:rsidR="00850D9E">
        <w:rPr>
          <w:bCs/>
        </w:rPr>
        <w:t xml:space="preserve">väljapoole </w:t>
      </w:r>
      <w:r w:rsidR="002319B4">
        <w:rPr>
          <w:bCs/>
        </w:rPr>
        <w:t>raudteemaad. Samuti on arvestatud sellega, et t</w:t>
      </w:r>
      <w:r w:rsidR="002319B4" w:rsidRPr="002319B4">
        <w:rPr>
          <w:bCs/>
        </w:rPr>
        <w:t xml:space="preserve">aotlejad suudaksid toetuse taotlemiseks vajalikud dokumendid ette valmistada ja </w:t>
      </w:r>
      <w:r w:rsidR="002319B4">
        <w:rPr>
          <w:bCs/>
        </w:rPr>
        <w:t>alustatud tegevused ellu viia.</w:t>
      </w:r>
      <w:r w:rsidR="002319B4" w:rsidRPr="002319B4">
        <w:rPr>
          <w:bCs/>
        </w:rPr>
        <w:t xml:space="preserve"> </w:t>
      </w:r>
      <w:r w:rsidR="00312F51" w:rsidRPr="00104D85">
        <w:t>Toeta</w:t>
      </w:r>
      <w:r w:rsidR="001705EA">
        <w:t>ta</w:t>
      </w:r>
      <w:r w:rsidR="00312F51" w:rsidRPr="00104D85">
        <w:t>vate tegevuste</w:t>
      </w:r>
      <w:r w:rsidR="00C77E7D">
        <w:t xml:space="preserve"> loetelu</w:t>
      </w:r>
      <w:r w:rsidR="00312F51" w:rsidRPr="00104D85">
        <w:t xml:space="preserve"> laiendamine aitab</w:t>
      </w:r>
      <w:r w:rsidR="00312F51">
        <w:t xml:space="preserve"> PTA</w:t>
      </w:r>
      <w:r w:rsidR="00C77E7D">
        <w:noBreakHyphen/>
      </w:r>
      <w:r w:rsidR="00312F51">
        <w:t>l</w:t>
      </w:r>
      <w:r w:rsidR="00312F51" w:rsidRPr="00104D85">
        <w:t xml:space="preserve"> </w:t>
      </w:r>
      <w:r w:rsidR="00B01B4F">
        <w:t xml:space="preserve">kasutada toetuse eelarvet </w:t>
      </w:r>
      <w:r w:rsidR="00312F51">
        <w:t xml:space="preserve">paremini </w:t>
      </w:r>
      <w:r w:rsidR="00312F51" w:rsidRPr="00104D85">
        <w:t>toetuse eesmär</w:t>
      </w:r>
      <w:r w:rsidR="00B01B4F">
        <w:t>kide saavutamiseks</w:t>
      </w:r>
      <w:r w:rsidR="00312F51" w:rsidRPr="00104D85">
        <w:t>.</w:t>
      </w:r>
    </w:p>
    <w:p w14:paraId="3103EC55" w14:textId="77777777" w:rsidR="008C6920" w:rsidRDefault="008C6920">
      <w:pPr>
        <w:jc w:val="both"/>
        <w:rPr>
          <w:bCs/>
        </w:rPr>
      </w:pPr>
    </w:p>
    <w:p w14:paraId="4F77D5DA" w14:textId="5A7918B2" w:rsidR="00E973D3" w:rsidRPr="00E973D3" w:rsidRDefault="00E973D3">
      <w:pPr>
        <w:jc w:val="both"/>
        <w:rPr>
          <w:bCs/>
        </w:rPr>
      </w:pPr>
      <w:r w:rsidRPr="00E973D3">
        <w:rPr>
          <w:bCs/>
        </w:rPr>
        <w:t>Muudatused ei too kaasa PRIA töökoormuse kasvu</w:t>
      </w:r>
      <w:r w:rsidR="00312F51" w:rsidRPr="00E973D3">
        <w:rPr>
          <w:bCs/>
        </w:rPr>
        <w:t xml:space="preserve">. </w:t>
      </w:r>
      <w:r w:rsidR="00312F51" w:rsidRPr="00104D85">
        <w:t>Muudatus</w:t>
      </w:r>
      <w:r w:rsidR="00312F51">
        <w:t xml:space="preserve">ega </w:t>
      </w:r>
      <w:r w:rsidR="00B01B4F">
        <w:t>parandatakse</w:t>
      </w:r>
      <w:r w:rsidR="00312F51">
        <w:t xml:space="preserve"> PTA riigieelarveliste vahendite kasutamis</w:t>
      </w:r>
      <w:r w:rsidR="00B01B4F">
        <w:t>t</w:t>
      </w:r>
      <w:r w:rsidR="00312F51">
        <w:t xml:space="preserve"> ja </w:t>
      </w:r>
      <w:r w:rsidR="00B01B4F">
        <w:t xml:space="preserve">see aitab </w:t>
      </w:r>
      <w:r w:rsidR="00312F51">
        <w:t xml:space="preserve">maaparandusseadusega sätestatud </w:t>
      </w:r>
      <w:r w:rsidR="00B01B4F">
        <w:t xml:space="preserve">tööülesandeid paremini </w:t>
      </w:r>
      <w:r w:rsidR="00312F51">
        <w:t>täi</w:t>
      </w:r>
      <w:r w:rsidR="00B01B4F">
        <w:t>ta.</w:t>
      </w:r>
      <w:r w:rsidR="00C54582">
        <w:t xml:space="preserve"> </w:t>
      </w:r>
      <w:r w:rsidR="001705EA">
        <w:rPr>
          <w:bCs/>
        </w:rPr>
        <w:t>Samuti ei too muudatused kaasa</w:t>
      </w:r>
      <w:r w:rsidR="00B01B4F">
        <w:rPr>
          <w:bCs/>
        </w:rPr>
        <w:t xml:space="preserve"> </w:t>
      </w:r>
      <w:r w:rsidRPr="00E973D3">
        <w:rPr>
          <w:bCs/>
        </w:rPr>
        <w:t>toetuse saajate halduskoormuse kasvu, sest</w:t>
      </w:r>
      <w:r>
        <w:rPr>
          <w:bCs/>
        </w:rPr>
        <w:t xml:space="preserve"> toetuse saamise nõudeid leevendat</w:t>
      </w:r>
      <w:r w:rsidR="008C6920">
        <w:rPr>
          <w:bCs/>
        </w:rPr>
        <w:t>akse</w:t>
      </w:r>
      <w:r w:rsidR="00B01B4F">
        <w:rPr>
          <w:bCs/>
        </w:rPr>
        <w:t>.</w:t>
      </w:r>
    </w:p>
    <w:p w14:paraId="4353DFBE" w14:textId="77777777" w:rsidR="0050579A" w:rsidRDefault="0050579A">
      <w:pPr>
        <w:jc w:val="both"/>
        <w:rPr>
          <w:bCs/>
        </w:rPr>
      </w:pPr>
    </w:p>
    <w:p w14:paraId="4CDA298C" w14:textId="72B55C79" w:rsidR="00426AB0" w:rsidRDefault="00E973D3">
      <w:pPr>
        <w:jc w:val="both"/>
        <w:rPr>
          <w:bCs/>
        </w:rPr>
      </w:pPr>
      <w:r w:rsidRPr="00E973D3">
        <w:rPr>
          <w:bCs/>
        </w:rPr>
        <w:t xml:space="preserve">Muudatuste tegemine loob </w:t>
      </w:r>
      <w:r w:rsidR="00B01B4F">
        <w:rPr>
          <w:bCs/>
        </w:rPr>
        <w:t>põllumajandusettevõtjatest ja erametsamaa omanikest</w:t>
      </w:r>
      <w:r w:rsidR="00B01B4F" w:rsidRPr="00E973D3">
        <w:rPr>
          <w:bCs/>
        </w:rPr>
        <w:t xml:space="preserve"> </w:t>
      </w:r>
      <w:r w:rsidRPr="00E973D3">
        <w:rPr>
          <w:bCs/>
        </w:rPr>
        <w:t>toetuse saajatele paindlikumad tingimused, mis aitavad kaasa toetuse sihipärasele kasutamisele. Muuda</w:t>
      </w:r>
      <w:r w:rsidR="0050579A">
        <w:rPr>
          <w:bCs/>
        </w:rPr>
        <w:t>tused soodustavad maapiirkonna majanduskeskkonda</w:t>
      </w:r>
      <w:r w:rsidRPr="00E973D3">
        <w:rPr>
          <w:bCs/>
        </w:rPr>
        <w:t xml:space="preserve"> ning aitavad seeläbi kaudselt kaasa maapiirkondade </w:t>
      </w:r>
      <w:r w:rsidR="0050579A">
        <w:rPr>
          <w:bCs/>
        </w:rPr>
        <w:t>tööhõivele</w:t>
      </w:r>
      <w:r w:rsidR="00B01B4F">
        <w:rPr>
          <w:bCs/>
        </w:rPr>
        <w:t>,</w:t>
      </w:r>
      <w:r w:rsidR="0050579A">
        <w:rPr>
          <w:bCs/>
        </w:rPr>
        <w:t xml:space="preserve"> sh </w:t>
      </w:r>
      <w:r w:rsidRPr="00E973D3">
        <w:rPr>
          <w:bCs/>
        </w:rPr>
        <w:t>elanike arvu vähenemise tendentsi peatamisele ja elanikkonna vanuselise struktuuri paranemisele. Muudatused on vajalikud ja aitavad saavutada toetuse andmisega soovitud eesmärke.</w:t>
      </w:r>
    </w:p>
    <w:p w14:paraId="22E870BF" w14:textId="77777777" w:rsidR="0078663E" w:rsidRDefault="0078663E">
      <w:pPr>
        <w:jc w:val="both"/>
        <w:rPr>
          <w:b/>
          <w:bCs/>
        </w:rPr>
      </w:pPr>
    </w:p>
    <w:p w14:paraId="4A3A100D" w14:textId="396E30D3" w:rsidR="002D6483" w:rsidRDefault="002D6483" w:rsidP="006F361E">
      <w:pPr>
        <w:jc w:val="both"/>
        <w:rPr>
          <w:b/>
          <w:bCs/>
        </w:rPr>
      </w:pPr>
      <w:r w:rsidRPr="008A0C16">
        <w:rPr>
          <w:b/>
          <w:bCs/>
        </w:rPr>
        <w:t>5. Määruse rakendamisega seot</w:t>
      </w:r>
      <w:r w:rsidR="000F3352" w:rsidRPr="008A0C16">
        <w:rPr>
          <w:b/>
          <w:bCs/>
        </w:rPr>
        <w:t>ud tegevused, vajalikud kulu</w:t>
      </w:r>
      <w:r w:rsidRPr="008A0C16">
        <w:rPr>
          <w:b/>
          <w:bCs/>
        </w:rPr>
        <w:t>d ja määruse</w:t>
      </w:r>
      <w:r w:rsidR="00FC5DE7" w:rsidRPr="008A0C16">
        <w:rPr>
          <w:b/>
          <w:bCs/>
        </w:rPr>
        <w:t xml:space="preserve"> </w:t>
      </w:r>
      <w:r w:rsidRPr="008A0C16">
        <w:rPr>
          <w:b/>
          <w:bCs/>
        </w:rPr>
        <w:t>rakendamise eeldatavad tulud</w:t>
      </w:r>
    </w:p>
    <w:p w14:paraId="5353D1DD" w14:textId="77777777" w:rsidR="001705EA" w:rsidRPr="008A0C16" w:rsidRDefault="001705EA" w:rsidP="006F361E">
      <w:pPr>
        <w:jc w:val="both"/>
        <w:rPr>
          <w:b/>
          <w:bCs/>
        </w:rPr>
      </w:pPr>
    </w:p>
    <w:p w14:paraId="30869332" w14:textId="77777777" w:rsidR="002E096D" w:rsidRPr="005E217C" w:rsidRDefault="002E096D" w:rsidP="006F361E">
      <w:pPr>
        <w:jc w:val="both"/>
      </w:pPr>
      <w:r w:rsidRPr="008A0C16">
        <w:t xml:space="preserve">Määruse </w:t>
      </w:r>
      <w:r w:rsidR="00141CC3" w:rsidRPr="008A0C16">
        <w:t xml:space="preserve">rakendamisega </w:t>
      </w:r>
      <w:r w:rsidR="00141CC3" w:rsidRPr="008A0C16">
        <w:rPr>
          <w:sz w:val="23"/>
          <w:szCs w:val="23"/>
        </w:rPr>
        <w:t>ei kaasne lisakulu ega -tulu</w:t>
      </w:r>
      <w:r w:rsidRPr="005E217C">
        <w:t>.</w:t>
      </w:r>
    </w:p>
    <w:p w14:paraId="182A159B" w14:textId="77777777" w:rsidR="002E096D" w:rsidRPr="005E217C" w:rsidRDefault="002E096D" w:rsidP="00BF7B97">
      <w:pPr>
        <w:jc w:val="both"/>
        <w:rPr>
          <w:b/>
          <w:bCs/>
        </w:rPr>
      </w:pPr>
    </w:p>
    <w:p w14:paraId="218BA112" w14:textId="4C9C5114" w:rsidR="002D6483" w:rsidRDefault="002D6483">
      <w:pPr>
        <w:jc w:val="both"/>
        <w:rPr>
          <w:b/>
          <w:bCs/>
        </w:rPr>
      </w:pPr>
      <w:r w:rsidRPr="002E609C">
        <w:rPr>
          <w:b/>
          <w:bCs/>
        </w:rPr>
        <w:t>6. Määruse jõustumine</w:t>
      </w:r>
    </w:p>
    <w:p w14:paraId="23DF5338" w14:textId="77777777" w:rsidR="00FE5018" w:rsidRPr="002E609C" w:rsidRDefault="00FE5018">
      <w:pPr>
        <w:jc w:val="both"/>
        <w:rPr>
          <w:b/>
          <w:bCs/>
        </w:rPr>
      </w:pPr>
    </w:p>
    <w:p w14:paraId="04AEE724" w14:textId="77777777" w:rsidR="002D6483" w:rsidRPr="001830D5" w:rsidRDefault="002E096D">
      <w:pPr>
        <w:jc w:val="both"/>
      </w:pPr>
      <w:r w:rsidRPr="001830D5">
        <w:t>Määrus jõustub üldises korras.</w:t>
      </w:r>
    </w:p>
    <w:p w14:paraId="44E5FB03" w14:textId="77777777" w:rsidR="002E096D" w:rsidRPr="001830D5" w:rsidRDefault="002E096D">
      <w:pPr>
        <w:jc w:val="both"/>
      </w:pPr>
    </w:p>
    <w:p w14:paraId="45DB7F00" w14:textId="16ACA862" w:rsidR="002D6483" w:rsidRDefault="002D6483">
      <w:pPr>
        <w:jc w:val="both"/>
        <w:rPr>
          <w:b/>
          <w:bCs/>
        </w:rPr>
      </w:pPr>
      <w:r w:rsidRPr="001A2016">
        <w:rPr>
          <w:b/>
          <w:bCs/>
        </w:rPr>
        <w:t>7. Eelnõu kooskõlastamine, huvirühmade kaasamine ja avalik konsultatsioon</w:t>
      </w:r>
    </w:p>
    <w:p w14:paraId="78C463E2" w14:textId="77777777" w:rsidR="00FE5018" w:rsidRPr="001A2016" w:rsidRDefault="00FE5018">
      <w:pPr>
        <w:jc w:val="both"/>
        <w:rPr>
          <w:b/>
          <w:bCs/>
        </w:rPr>
      </w:pPr>
    </w:p>
    <w:p w14:paraId="10A405D5" w14:textId="5E3F2387" w:rsidR="0055364F" w:rsidRDefault="00BF5B68">
      <w:pPr>
        <w:jc w:val="both"/>
        <w:rPr>
          <w:bCs/>
          <w:noProof/>
        </w:rPr>
      </w:pPr>
      <w:r w:rsidRPr="00B32D09">
        <w:rPr>
          <w:bCs/>
          <w:noProof/>
        </w:rPr>
        <w:t xml:space="preserve">Eelnõu </w:t>
      </w:r>
      <w:r w:rsidR="007C2A23">
        <w:rPr>
          <w:bCs/>
          <w:noProof/>
        </w:rPr>
        <w:t>esitatakse</w:t>
      </w:r>
      <w:r w:rsidR="007C2A23" w:rsidRPr="00B32D09">
        <w:rPr>
          <w:bCs/>
          <w:noProof/>
        </w:rPr>
        <w:t xml:space="preserve"> </w:t>
      </w:r>
      <w:r w:rsidRPr="00B32D09">
        <w:rPr>
          <w:bCs/>
          <w:noProof/>
        </w:rPr>
        <w:t>eelnõude infosüsteemi EIS kaudu kooskõlastamiseks</w:t>
      </w:r>
      <w:r w:rsidR="007203E6">
        <w:rPr>
          <w:bCs/>
          <w:noProof/>
        </w:rPr>
        <w:t xml:space="preserve"> Kesk</w:t>
      </w:r>
      <w:r w:rsidR="00CF5FF8">
        <w:rPr>
          <w:bCs/>
          <w:noProof/>
        </w:rPr>
        <w:t>k</w:t>
      </w:r>
      <w:r w:rsidR="007203E6">
        <w:rPr>
          <w:bCs/>
          <w:noProof/>
        </w:rPr>
        <w:t>onnaministeeriumile,</w:t>
      </w:r>
      <w:r w:rsidRPr="00B32D09">
        <w:rPr>
          <w:bCs/>
          <w:noProof/>
        </w:rPr>
        <w:t xml:space="preserve"> </w:t>
      </w:r>
      <w:r w:rsidR="00E96CC2">
        <w:rPr>
          <w:bCs/>
          <w:noProof/>
        </w:rPr>
        <w:t>Majandus- ja Kommunikatsiooniministeeriumile ning</w:t>
      </w:r>
      <w:r w:rsidR="00E96CC2" w:rsidRPr="003B0624">
        <w:rPr>
          <w:bCs/>
          <w:noProof/>
        </w:rPr>
        <w:t xml:space="preserve"> </w:t>
      </w:r>
      <w:r w:rsidRPr="003B0624">
        <w:rPr>
          <w:bCs/>
          <w:noProof/>
        </w:rPr>
        <w:t>Rahandusministeeriumile.</w:t>
      </w:r>
      <w:r w:rsidR="004C68B4" w:rsidRPr="008A4654">
        <w:rPr>
          <w:bCs/>
          <w:noProof/>
        </w:rPr>
        <w:t xml:space="preserve"> </w:t>
      </w:r>
    </w:p>
    <w:p w14:paraId="7F808641" w14:textId="77777777" w:rsidR="00F15024" w:rsidRPr="008A4654" w:rsidRDefault="00F15024">
      <w:pPr>
        <w:jc w:val="both"/>
        <w:rPr>
          <w:bCs/>
          <w:noProof/>
        </w:rPr>
      </w:pPr>
    </w:p>
    <w:p w14:paraId="00AB6F91" w14:textId="11F1D307" w:rsidR="004C68B4" w:rsidRPr="008A0C16" w:rsidRDefault="004C68B4">
      <w:pPr>
        <w:jc w:val="both"/>
        <w:rPr>
          <w:bCs/>
          <w:noProof/>
        </w:rPr>
      </w:pPr>
      <w:r w:rsidRPr="008A0C16">
        <w:t xml:space="preserve">Eelnõu </w:t>
      </w:r>
      <w:r w:rsidR="0055364F" w:rsidRPr="008A0C16">
        <w:t xml:space="preserve">esitatakse </w:t>
      </w:r>
      <w:r w:rsidRPr="008A0C16">
        <w:t xml:space="preserve">arvamuse </w:t>
      </w:r>
      <w:r w:rsidR="00754A74" w:rsidRPr="008A0C16">
        <w:t>andmiseks</w:t>
      </w:r>
      <w:r w:rsidR="0055364F" w:rsidRPr="008A0C16">
        <w:t xml:space="preserve"> </w:t>
      </w:r>
      <w:r w:rsidR="00541932" w:rsidRPr="008A0C16">
        <w:t>P</w:t>
      </w:r>
      <w:r w:rsidR="00541932">
        <w:t>T</w:t>
      </w:r>
      <w:r w:rsidR="00541932" w:rsidRPr="008A0C16">
        <w:t>A</w:t>
      </w:r>
      <w:r w:rsidR="00D17C5D" w:rsidRPr="008A0C16">
        <w:t>-le</w:t>
      </w:r>
      <w:r w:rsidR="00FC4A89">
        <w:t xml:space="preserve">, </w:t>
      </w:r>
      <w:r w:rsidR="0055364F" w:rsidRPr="008A0C16">
        <w:t>PRIA-le</w:t>
      </w:r>
      <w:r w:rsidR="00FC4A89">
        <w:t xml:space="preserve">, </w:t>
      </w:r>
      <w:r w:rsidR="00E51BAE">
        <w:t xml:space="preserve">SA-le </w:t>
      </w:r>
      <w:r w:rsidR="00FC4A89">
        <w:t>Erametsakeskus ja TTJA-le</w:t>
      </w:r>
      <w:r w:rsidRPr="008A0C16">
        <w:t>.</w:t>
      </w:r>
    </w:p>
    <w:p w14:paraId="4BE3BC35" w14:textId="77777777" w:rsidR="00CD1DE1" w:rsidRPr="008A0C16" w:rsidRDefault="00CD1DE1" w:rsidP="009302E1"/>
    <w:p w14:paraId="5078D15F" w14:textId="77777777" w:rsidR="00BF7B97" w:rsidRPr="008A0C16" w:rsidRDefault="00BF7B97" w:rsidP="009302E1"/>
    <w:p w14:paraId="6FB69831" w14:textId="77777777" w:rsidR="008B5437" w:rsidRPr="008A0C16" w:rsidRDefault="008B5437" w:rsidP="009302E1"/>
    <w:p w14:paraId="4D801A7C" w14:textId="7E19A993" w:rsidR="0055364F" w:rsidRPr="008A0C16" w:rsidRDefault="0055364F">
      <w:bookmarkStart w:id="1" w:name="_GoBack"/>
      <w:bookmarkEnd w:id="1"/>
    </w:p>
    <w:sectPr w:rsidR="0055364F" w:rsidRPr="008A0C16" w:rsidSect="004D33AE">
      <w:footerReference w:type="default" r:id="rId10"/>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FE90" w16cex:dateUtc="2020-05-18T09:31:00Z"/>
  <w16cex:commentExtensible w16cex:durableId="226D4DC1" w16cex:dateUtc="2020-05-18T15:09:00Z"/>
  <w16cex:commentExtensible w16cex:durableId="226D1F6B" w16cex:dateUtc="2020-05-18T11:51:00Z"/>
  <w16cex:commentExtensible w16cex:durableId="226D20CE" w16cex:dateUtc="2020-05-18T11:57:00Z"/>
  <w16cex:commentExtensible w16cex:durableId="226D20F9" w16cex:dateUtc="2020-05-18T11:58:00Z"/>
  <w16cex:commentExtensible w16cex:durableId="226D21EB" w16cex:dateUtc="2020-05-18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BCA0A" w16cid:durableId="226CFE90"/>
  <w16cid:commentId w16cid:paraId="41E26CAD" w16cid:durableId="226D4DC1"/>
  <w16cid:commentId w16cid:paraId="40E03582" w16cid:durableId="226D1F6B"/>
  <w16cid:commentId w16cid:paraId="53285C7E" w16cid:durableId="226CF630"/>
  <w16cid:commentId w16cid:paraId="60D2EA80" w16cid:durableId="226CF631"/>
  <w16cid:commentId w16cid:paraId="39CC50AD" w16cid:durableId="226D20CE"/>
  <w16cid:commentId w16cid:paraId="70946C17" w16cid:durableId="226D20F9"/>
  <w16cid:commentId w16cid:paraId="66A6AD20" w16cid:durableId="226D21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B159" w14:textId="77777777" w:rsidR="00EB7C22" w:rsidRDefault="00EB7C22" w:rsidP="004C68B4">
      <w:r>
        <w:separator/>
      </w:r>
    </w:p>
  </w:endnote>
  <w:endnote w:type="continuationSeparator" w:id="0">
    <w:p w14:paraId="31118735" w14:textId="77777777" w:rsidR="00EB7C22" w:rsidRDefault="00EB7C22" w:rsidP="004C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UAlbertina-Regular-Identity-H">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59610"/>
      <w:docPartObj>
        <w:docPartGallery w:val="Page Numbers (Bottom of Page)"/>
        <w:docPartUnique/>
      </w:docPartObj>
    </w:sdtPr>
    <w:sdtEndPr>
      <w:rPr>
        <w:noProof/>
      </w:rPr>
    </w:sdtEndPr>
    <w:sdtContent>
      <w:p w14:paraId="66998109" w14:textId="1CE7371F" w:rsidR="000015F9" w:rsidRDefault="000015F9">
        <w:pPr>
          <w:pStyle w:val="Footer"/>
          <w:jc w:val="center"/>
        </w:pPr>
        <w:r>
          <w:fldChar w:fldCharType="begin"/>
        </w:r>
        <w:r>
          <w:instrText xml:space="preserve"> PAGE   \* MERGEFORMAT </w:instrText>
        </w:r>
        <w:r>
          <w:fldChar w:fldCharType="separate"/>
        </w:r>
        <w:r w:rsidR="00FB07FC">
          <w:rPr>
            <w:noProof/>
          </w:rPr>
          <w:t>6</w:t>
        </w:r>
        <w:r>
          <w:rPr>
            <w:noProof/>
          </w:rPr>
          <w:fldChar w:fldCharType="end"/>
        </w:r>
      </w:p>
    </w:sdtContent>
  </w:sdt>
  <w:p w14:paraId="29F81205" w14:textId="77777777" w:rsidR="000015F9" w:rsidRDefault="0000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E339" w14:textId="77777777" w:rsidR="00EB7C22" w:rsidRDefault="00EB7C22" w:rsidP="004C68B4">
      <w:r>
        <w:separator/>
      </w:r>
    </w:p>
  </w:footnote>
  <w:footnote w:type="continuationSeparator" w:id="0">
    <w:p w14:paraId="2C7C2582" w14:textId="77777777" w:rsidR="00EB7C22" w:rsidRDefault="00EB7C22" w:rsidP="004C68B4">
      <w:r>
        <w:continuationSeparator/>
      </w:r>
    </w:p>
  </w:footnote>
  <w:footnote w:id="1">
    <w:p w14:paraId="4A482268" w14:textId="09000457" w:rsidR="000015F9" w:rsidRDefault="000015F9" w:rsidP="009302E1">
      <w:pPr>
        <w:pStyle w:val="FootnoteText"/>
        <w:jc w:val="both"/>
      </w:pPr>
      <w:r>
        <w:rPr>
          <w:rStyle w:val="FootnoteReference"/>
        </w:rPr>
        <w:footnoteRef/>
      </w:r>
      <w:r>
        <w:t xml:space="preserve"> </w:t>
      </w:r>
      <w:r w:rsidRPr="00A82766">
        <w:t>Euroopa Parlamendi ja nõukogu määrus (EL) 2020/2220, millega kehtestatakse teatavad üleminekusätted Euroopa Maaelu Arengu Põllumajandusfondi (EAFRD) ja Euroopa Põllumajanduse Tagatisfondi (EAGF) toetuse kohta 2021.</w:t>
      </w:r>
      <w:r w:rsidR="0064751F">
        <w:t> </w:t>
      </w:r>
      <w:r w:rsidRPr="00A82766">
        <w:t>ja 2022. aastal ning muudetakse määrusi (EL) nr 1305/2013, (EL) nr 1306/2013 ning (EL) nr 1307/2013 seoses 2021. ja 2022. aastal eraldatavate vahendite ja nende määruste kohaldamisega ning määrust (EL) nr 1308/2013 seoses 2021. ja 2022. aastal eraldatavate vahendite ja sellise toetuse jaotamisega (ELT L 437, 28.12.2020, lk 1–29).</w:t>
      </w:r>
    </w:p>
    <w:p w14:paraId="00CB2529" w14:textId="77777777" w:rsidR="000015F9" w:rsidRDefault="000015F9" w:rsidP="009302E1">
      <w:pPr>
        <w:pStyle w:val="FootnoteText"/>
        <w:jc w:val="both"/>
      </w:pPr>
    </w:p>
  </w:footnote>
  <w:footnote w:id="2">
    <w:p w14:paraId="311BC30E" w14:textId="77777777" w:rsidR="009302E1" w:rsidRPr="007C3686" w:rsidRDefault="009302E1" w:rsidP="009302E1">
      <w:pPr>
        <w:pStyle w:val="FootnoteText"/>
      </w:pPr>
      <w:r w:rsidRPr="007C3686">
        <w:rPr>
          <w:rStyle w:val="FootnoteReference"/>
        </w:rPr>
        <w:footnoteRef/>
      </w:r>
      <w:r w:rsidRPr="007C3686">
        <w:t xml:space="preserve"> Kättesaadav: </w:t>
      </w:r>
      <w:hyperlink r:id="rId1" w:history="1">
        <w:r w:rsidRPr="007C3686">
          <w:rPr>
            <w:rStyle w:val="Hyperlink"/>
            <w:bCs/>
            <w:color w:val="auto"/>
          </w:rPr>
          <w:t>https://rbestonia.ee/projektist/trassikoridor/</w:t>
        </w:r>
      </w:hyperlink>
      <w:r w:rsidRPr="007C3686">
        <w:t>.</w:t>
      </w:r>
    </w:p>
  </w:footnote>
  <w:footnote w:id="3">
    <w:p w14:paraId="4E805591" w14:textId="780C0124" w:rsidR="000015F9" w:rsidRDefault="000015F9" w:rsidP="005F6C02">
      <w:pPr>
        <w:pStyle w:val="FootnoteText"/>
        <w:jc w:val="both"/>
      </w:pPr>
      <w:r>
        <w:rPr>
          <w:rStyle w:val="FootnoteReference"/>
        </w:rPr>
        <w:footnoteRef/>
      </w:r>
      <w:r>
        <w:t xml:space="preserve"> </w:t>
      </w:r>
      <w:r w:rsidRPr="0016158E">
        <w:t>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Pr="00D72D5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7C"/>
    <w:rsid w:val="000015F9"/>
    <w:rsid w:val="00007B48"/>
    <w:rsid w:val="000111FD"/>
    <w:rsid w:val="0001439A"/>
    <w:rsid w:val="0001575F"/>
    <w:rsid w:val="000177B2"/>
    <w:rsid w:val="00017A49"/>
    <w:rsid w:val="00024A89"/>
    <w:rsid w:val="000378D6"/>
    <w:rsid w:val="0004593E"/>
    <w:rsid w:val="000460C3"/>
    <w:rsid w:val="00053DD5"/>
    <w:rsid w:val="00060316"/>
    <w:rsid w:val="00062E5F"/>
    <w:rsid w:val="00066DA5"/>
    <w:rsid w:val="00066F52"/>
    <w:rsid w:val="00070192"/>
    <w:rsid w:val="000738AE"/>
    <w:rsid w:val="00075A3B"/>
    <w:rsid w:val="00076548"/>
    <w:rsid w:val="000766F1"/>
    <w:rsid w:val="00077A9A"/>
    <w:rsid w:val="00080838"/>
    <w:rsid w:val="000827A7"/>
    <w:rsid w:val="00082B5F"/>
    <w:rsid w:val="00095A1F"/>
    <w:rsid w:val="00095EE0"/>
    <w:rsid w:val="000A07BF"/>
    <w:rsid w:val="000A7B1D"/>
    <w:rsid w:val="000C0CAD"/>
    <w:rsid w:val="000C5873"/>
    <w:rsid w:val="000C7258"/>
    <w:rsid w:val="000C73AD"/>
    <w:rsid w:val="000D683D"/>
    <w:rsid w:val="000D7DC6"/>
    <w:rsid w:val="000E005B"/>
    <w:rsid w:val="000E0F58"/>
    <w:rsid w:val="000E406C"/>
    <w:rsid w:val="000E420D"/>
    <w:rsid w:val="000E6586"/>
    <w:rsid w:val="000F3352"/>
    <w:rsid w:val="000F62D8"/>
    <w:rsid w:val="0012333A"/>
    <w:rsid w:val="00123FE0"/>
    <w:rsid w:val="00131612"/>
    <w:rsid w:val="00133EF7"/>
    <w:rsid w:val="00141CC3"/>
    <w:rsid w:val="001441D2"/>
    <w:rsid w:val="00144D15"/>
    <w:rsid w:val="00146A92"/>
    <w:rsid w:val="001555A9"/>
    <w:rsid w:val="00164D32"/>
    <w:rsid w:val="00164DA7"/>
    <w:rsid w:val="00166F39"/>
    <w:rsid w:val="001705EA"/>
    <w:rsid w:val="0017537F"/>
    <w:rsid w:val="00182BA9"/>
    <w:rsid w:val="001830D5"/>
    <w:rsid w:val="001877D8"/>
    <w:rsid w:val="00191D62"/>
    <w:rsid w:val="001A2016"/>
    <w:rsid w:val="001A29C3"/>
    <w:rsid w:val="001B0D87"/>
    <w:rsid w:val="001B52C3"/>
    <w:rsid w:val="001D0A12"/>
    <w:rsid w:val="001D0F17"/>
    <w:rsid w:val="001E2EA8"/>
    <w:rsid w:val="001E4D1E"/>
    <w:rsid w:val="001E5EF9"/>
    <w:rsid w:val="001F2DBC"/>
    <w:rsid w:val="001F3F25"/>
    <w:rsid w:val="00202304"/>
    <w:rsid w:val="002025AE"/>
    <w:rsid w:val="00207A32"/>
    <w:rsid w:val="00213C27"/>
    <w:rsid w:val="00214513"/>
    <w:rsid w:val="002319B4"/>
    <w:rsid w:val="0023205E"/>
    <w:rsid w:val="00233E29"/>
    <w:rsid w:val="00241641"/>
    <w:rsid w:val="0025189F"/>
    <w:rsid w:val="0025438A"/>
    <w:rsid w:val="00257696"/>
    <w:rsid w:val="00263EFE"/>
    <w:rsid w:val="00277919"/>
    <w:rsid w:val="0028242F"/>
    <w:rsid w:val="0028482D"/>
    <w:rsid w:val="00292FC8"/>
    <w:rsid w:val="0029763B"/>
    <w:rsid w:val="002A2689"/>
    <w:rsid w:val="002A5A57"/>
    <w:rsid w:val="002A6D8A"/>
    <w:rsid w:val="002A7034"/>
    <w:rsid w:val="002B02B3"/>
    <w:rsid w:val="002B48FA"/>
    <w:rsid w:val="002C5E28"/>
    <w:rsid w:val="002C77A0"/>
    <w:rsid w:val="002D0328"/>
    <w:rsid w:val="002D35E9"/>
    <w:rsid w:val="002D6483"/>
    <w:rsid w:val="002E062C"/>
    <w:rsid w:val="002E096D"/>
    <w:rsid w:val="002E1E67"/>
    <w:rsid w:val="002E609C"/>
    <w:rsid w:val="002F1D2C"/>
    <w:rsid w:val="002F263B"/>
    <w:rsid w:val="002F3C99"/>
    <w:rsid w:val="002F4628"/>
    <w:rsid w:val="00307F49"/>
    <w:rsid w:val="00311840"/>
    <w:rsid w:val="00312711"/>
    <w:rsid w:val="00312F51"/>
    <w:rsid w:val="003132EE"/>
    <w:rsid w:val="00316DDE"/>
    <w:rsid w:val="00324A65"/>
    <w:rsid w:val="00326ABA"/>
    <w:rsid w:val="003315F8"/>
    <w:rsid w:val="00332EC4"/>
    <w:rsid w:val="00334D38"/>
    <w:rsid w:val="00336389"/>
    <w:rsid w:val="003408CB"/>
    <w:rsid w:val="003436DB"/>
    <w:rsid w:val="003447F0"/>
    <w:rsid w:val="00353BAE"/>
    <w:rsid w:val="00354415"/>
    <w:rsid w:val="00357814"/>
    <w:rsid w:val="00361336"/>
    <w:rsid w:val="00365A8F"/>
    <w:rsid w:val="0037285F"/>
    <w:rsid w:val="003739A4"/>
    <w:rsid w:val="0037697E"/>
    <w:rsid w:val="0037723B"/>
    <w:rsid w:val="00386044"/>
    <w:rsid w:val="00387583"/>
    <w:rsid w:val="00391DF3"/>
    <w:rsid w:val="0039390F"/>
    <w:rsid w:val="00397AB1"/>
    <w:rsid w:val="003B0624"/>
    <w:rsid w:val="003B3ADD"/>
    <w:rsid w:val="003C16AB"/>
    <w:rsid w:val="003D3945"/>
    <w:rsid w:val="003D748A"/>
    <w:rsid w:val="003E14CA"/>
    <w:rsid w:val="003E5043"/>
    <w:rsid w:val="003E5D7C"/>
    <w:rsid w:val="003F51F2"/>
    <w:rsid w:val="003F7628"/>
    <w:rsid w:val="00401418"/>
    <w:rsid w:val="00401AEF"/>
    <w:rsid w:val="00402251"/>
    <w:rsid w:val="00407226"/>
    <w:rsid w:val="004110DB"/>
    <w:rsid w:val="0041291F"/>
    <w:rsid w:val="00412F7D"/>
    <w:rsid w:val="00415081"/>
    <w:rsid w:val="004219BD"/>
    <w:rsid w:val="00426AB0"/>
    <w:rsid w:val="00427A4E"/>
    <w:rsid w:val="004337D4"/>
    <w:rsid w:val="00434664"/>
    <w:rsid w:val="00436AA0"/>
    <w:rsid w:val="00450762"/>
    <w:rsid w:val="004575D5"/>
    <w:rsid w:val="004605EA"/>
    <w:rsid w:val="00460DD6"/>
    <w:rsid w:val="00463690"/>
    <w:rsid w:val="00466ED6"/>
    <w:rsid w:val="004676FB"/>
    <w:rsid w:val="004724F6"/>
    <w:rsid w:val="00480C7B"/>
    <w:rsid w:val="00481505"/>
    <w:rsid w:val="00483999"/>
    <w:rsid w:val="0049041A"/>
    <w:rsid w:val="00494EC0"/>
    <w:rsid w:val="004A44E3"/>
    <w:rsid w:val="004B114D"/>
    <w:rsid w:val="004B5136"/>
    <w:rsid w:val="004B564D"/>
    <w:rsid w:val="004C0855"/>
    <w:rsid w:val="004C3837"/>
    <w:rsid w:val="004C6614"/>
    <w:rsid w:val="004C68B4"/>
    <w:rsid w:val="004C7EDC"/>
    <w:rsid w:val="004D1C8B"/>
    <w:rsid w:val="004D1FAB"/>
    <w:rsid w:val="004D33AE"/>
    <w:rsid w:val="004D380C"/>
    <w:rsid w:val="004E03F5"/>
    <w:rsid w:val="005006BF"/>
    <w:rsid w:val="0050579A"/>
    <w:rsid w:val="00511F5E"/>
    <w:rsid w:val="00511F8B"/>
    <w:rsid w:val="00521EB2"/>
    <w:rsid w:val="00522E93"/>
    <w:rsid w:val="00524863"/>
    <w:rsid w:val="00524D32"/>
    <w:rsid w:val="00525E90"/>
    <w:rsid w:val="00526737"/>
    <w:rsid w:val="00531FE5"/>
    <w:rsid w:val="00535A09"/>
    <w:rsid w:val="00541932"/>
    <w:rsid w:val="00545B6D"/>
    <w:rsid w:val="005511F8"/>
    <w:rsid w:val="005534EA"/>
    <w:rsid w:val="0055364F"/>
    <w:rsid w:val="00555B38"/>
    <w:rsid w:val="005560E8"/>
    <w:rsid w:val="0056028B"/>
    <w:rsid w:val="005658F0"/>
    <w:rsid w:val="00575AB8"/>
    <w:rsid w:val="00583241"/>
    <w:rsid w:val="005834EB"/>
    <w:rsid w:val="00585CD8"/>
    <w:rsid w:val="00597241"/>
    <w:rsid w:val="005A6049"/>
    <w:rsid w:val="005B1B8A"/>
    <w:rsid w:val="005B1ED1"/>
    <w:rsid w:val="005B2E1F"/>
    <w:rsid w:val="005B4B7C"/>
    <w:rsid w:val="005B588E"/>
    <w:rsid w:val="005B623C"/>
    <w:rsid w:val="005B7AB6"/>
    <w:rsid w:val="005C4E2B"/>
    <w:rsid w:val="005C6C6A"/>
    <w:rsid w:val="005D05A1"/>
    <w:rsid w:val="005D2E64"/>
    <w:rsid w:val="005D31E7"/>
    <w:rsid w:val="005D345E"/>
    <w:rsid w:val="005D5267"/>
    <w:rsid w:val="005E0DD7"/>
    <w:rsid w:val="005E217C"/>
    <w:rsid w:val="005F0612"/>
    <w:rsid w:val="005F0C6A"/>
    <w:rsid w:val="005F6C02"/>
    <w:rsid w:val="0060581A"/>
    <w:rsid w:val="006074FC"/>
    <w:rsid w:val="00611CED"/>
    <w:rsid w:val="00626728"/>
    <w:rsid w:val="00627A53"/>
    <w:rsid w:val="00630B68"/>
    <w:rsid w:val="0063324E"/>
    <w:rsid w:val="006336E7"/>
    <w:rsid w:val="00635068"/>
    <w:rsid w:val="00637A02"/>
    <w:rsid w:val="00640297"/>
    <w:rsid w:val="00644CC0"/>
    <w:rsid w:val="0064639E"/>
    <w:rsid w:val="0064751F"/>
    <w:rsid w:val="0065238F"/>
    <w:rsid w:val="006614FC"/>
    <w:rsid w:val="00663520"/>
    <w:rsid w:val="00663EC5"/>
    <w:rsid w:val="006702B6"/>
    <w:rsid w:val="0067608F"/>
    <w:rsid w:val="0068169A"/>
    <w:rsid w:val="00681B22"/>
    <w:rsid w:val="00692629"/>
    <w:rsid w:val="00693012"/>
    <w:rsid w:val="006940E2"/>
    <w:rsid w:val="00694D29"/>
    <w:rsid w:val="0069590D"/>
    <w:rsid w:val="00697854"/>
    <w:rsid w:val="006A1CB4"/>
    <w:rsid w:val="006A3DD7"/>
    <w:rsid w:val="006A46AC"/>
    <w:rsid w:val="006B0F55"/>
    <w:rsid w:val="006B1ED9"/>
    <w:rsid w:val="006B46BA"/>
    <w:rsid w:val="006C1656"/>
    <w:rsid w:val="006C2EC3"/>
    <w:rsid w:val="006C454B"/>
    <w:rsid w:val="006C5BBF"/>
    <w:rsid w:val="006D2C05"/>
    <w:rsid w:val="006E2149"/>
    <w:rsid w:val="006E2D54"/>
    <w:rsid w:val="006E3050"/>
    <w:rsid w:val="006E480E"/>
    <w:rsid w:val="006F361E"/>
    <w:rsid w:val="006F3CE3"/>
    <w:rsid w:val="006F6554"/>
    <w:rsid w:val="0070171C"/>
    <w:rsid w:val="007058EF"/>
    <w:rsid w:val="00711C67"/>
    <w:rsid w:val="0071206C"/>
    <w:rsid w:val="007179B1"/>
    <w:rsid w:val="007203E6"/>
    <w:rsid w:val="00722E1A"/>
    <w:rsid w:val="00731DF7"/>
    <w:rsid w:val="007372ED"/>
    <w:rsid w:val="007521FA"/>
    <w:rsid w:val="00752271"/>
    <w:rsid w:val="00754A74"/>
    <w:rsid w:val="00757D62"/>
    <w:rsid w:val="007626A1"/>
    <w:rsid w:val="0076779A"/>
    <w:rsid w:val="00775A07"/>
    <w:rsid w:val="007853E0"/>
    <w:rsid w:val="0078663E"/>
    <w:rsid w:val="00790766"/>
    <w:rsid w:val="00795CBB"/>
    <w:rsid w:val="00796010"/>
    <w:rsid w:val="007A13F1"/>
    <w:rsid w:val="007A30FB"/>
    <w:rsid w:val="007A3609"/>
    <w:rsid w:val="007A5591"/>
    <w:rsid w:val="007A62BC"/>
    <w:rsid w:val="007B49E0"/>
    <w:rsid w:val="007B4C5E"/>
    <w:rsid w:val="007B5BEA"/>
    <w:rsid w:val="007B71B5"/>
    <w:rsid w:val="007C2A23"/>
    <w:rsid w:val="007C31D9"/>
    <w:rsid w:val="007C4AAD"/>
    <w:rsid w:val="007D0499"/>
    <w:rsid w:val="007D3301"/>
    <w:rsid w:val="007D4EB5"/>
    <w:rsid w:val="007D6D78"/>
    <w:rsid w:val="007D7721"/>
    <w:rsid w:val="007E68BF"/>
    <w:rsid w:val="007F09B7"/>
    <w:rsid w:val="007F2B74"/>
    <w:rsid w:val="007F2E85"/>
    <w:rsid w:val="007F53F6"/>
    <w:rsid w:val="0080110A"/>
    <w:rsid w:val="00801470"/>
    <w:rsid w:val="00803108"/>
    <w:rsid w:val="00810105"/>
    <w:rsid w:val="008139AC"/>
    <w:rsid w:val="00821696"/>
    <w:rsid w:val="008241A1"/>
    <w:rsid w:val="00827F91"/>
    <w:rsid w:val="00834686"/>
    <w:rsid w:val="00836AFA"/>
    <w:rsid w:val="0083716A"/>
    <w:rsid w:val="00837C89"/>
    <w:rsid w:val="008418EA"/>
    <w:rsid w:val="00841FCC"/>
    <w:rsid w:val="00844337"/>
    <w:rsid w:val="0084557C"/>
    <w:rsid w:val="00846D77"/>
    <w:rsid w:val="00850D9E"/>
    <w:rsid w:val="00851070"/>
    <w:rsid w:val="008522D7"/>
    <w:rsid w:val="00860C99"/>
    <w:rsid w:val="00865F21"/>
    <w:rsid w:val="008715AD"/>
    <w:rsid w:val="008729C2"/>
    <w:rsid w:val="00880853"/>
    <w:rsid w:val="00883D9C"/>
    <w:rsid w:val="008859EE"/>
    <w:rsid w:val="00890E91"/>
    <w:rsid w:val="008A01B9"/>
    <w:rsid w:val="008A0C16"/>
    <w:rsid w:val="008A2D02"/>
    <w:rsid w:val="008A4654"/>
    <w:rsid w:val="008A68DE"/>
    <w:rsid w:val="008B3A55"/>
    <w:rsid w:val="008B5437"/>
    <w:rsid w:val="008C559B"/>
    <w:rsid w:val="008C6920"/>
    <w:rsid w:val="008C7003"/>
    <w:rsid w:val="008D1D6C"/>
    <w:rsid w:val="008D6280"/>
    <w:rsid w:val="008D6E89"/>
    <w:rsid w:val="008E34BE"/>
    <w:rsid w:val="008F359F"/>
    <w:rsid w:val="008F3D23"/>
    <w:rsid w:val="00906D2B"/>
    <w:rsid w:val="00911E4F"/>
    <w:rsid w:val="00912CA9"/>
    <w:rsid w:val="009158D8"/>
    <w:rsid w:val="009210FD"/>
    <w:rsid w:val="0092465F"/>
    <w:rsid w:val="00924EC2"/>
    <w:rsid w:val="009302E1"/>
    <w:rsid w:val="00932FCE"/>
    <w:rsid w:val="00952777"/>
    <w:rsid w:val="009531BB"/>
    <w:rsid w:val="00953F90"/>
    <w:rsid w:val="00955E22"/>
    <w:rsid w:val="00955F46"/>
    <w:rsid w:val="00956EF2"/>
    <w:rsid w:val="00962500"/>
    <w:rsid w:val="00964635"/>
    <w:rsid w:val="00970B59"/>
    <w:rsid w:val="009757F6"/>
    <w:rsid w:val="00981D39"/>
    <w:rsid w:val="009845D1"/>
    <w:rsid w:val="00985363"/>
    <w:rsid w:val="00986CEA"/>
    <w:rsid w:val="0098723D"/>
    <w:rsid w:val="009931C4"/>
    <w:rsid w:val="00993774"/>
    <w:rsid w:val="0099565B"/>
    <w:rsid w:val="009A3D4A"/>
    <w:rsid w:val="009A5FE9"/>
    <w:rsid w:val="009A690D"/>
    <w:rsid w:val="009B0730"/>
    <w:rsid w:val="009B2333"/>
    <w:rsid w:val="009B52FE"/>
    <w:rsid w:val="009B7CA1"/>
    <w:rsid w:val="009C3457"/>
    <w:rsid w:val="009C416A"/>
    <w:rsid w:val="009C5F05"/>
    <w:rsid w:val="009C71AE"/>
    <w:rsid w:val="009D3BF2"/>
    <w:rsid w:val="009D75CE"/>
    <w:rsid w:val="009E2AAC"/>
    <w:rsid w:val="009E3CB7"/>
    <w:rsid w:val="009E4AFE"/>
    <w:rsid w:val="009F0976"/>
    <w:rsid w:val="009F218A"/>
    <w:rsid w:val="009F57FD"/>
    <w:rsid w:val="00A01063"/>
    <w:rsid w:val="00A033F9"/>
    <w:rsid w:val="00A04F8D"/>
    <w:rsid w:val="00A0700F"/>
    <w:rsid w:val="00A07A71"/>
    <w:rsid w:val="00A10013"/>
    <w:rsid w:val="00A10B11"/>
    <w:rsid w:val="00A11108"/>
    <w:rsid w:val="00A1356E"/>
    <w:rsid w:val="00A13D5E"/>
    <w:rsid w:val="00A16ECE"/>
    <w:rsid w:val="00A2551E"/>
    <w:rsid w:val="00A2660C"/>
    <w:rsid w:val="00A26E5A"/>
    <w:rsid w:val="00A2704D"/>
    <w:rsid w:val="00A371E6"/>
    <w:rsid w:val="00A43145"/>
    <w:rsid w:val="00A511B4"/>
    <w:rsid w:val="00A542AD"/>
    <w:rsid w:val="00A54721"/>
    <w:rsid w:val="00A565E6"/>
    <w:rsid w:val="00A57E43"/>
    <w:rsid w:val="00A63806"/>
    <w:rsid w:val="00A63C85"/>
    <w:rsid w:val="00A71ACD"/>
    <w:rsid w:val="00A7365B"/>
    <w:rsid w:val="00A82766"/>
    <w:rsid w:val="00A82DB2"/>
    <w:rsid w:val="00A90108"/>
    <w:rsid w:val="00A92E65"/>
    <w:rsid w:val="00A975E9"/>
    <w:rsid w:val="00AA074F"/>
    <w:rsid w:val="00AA2DB1"/>
    <w:rsid w:val="00AA534B"/>
    <w:rsid w:val="00AA5ED4"/>
    <w:rsid w:val="00AA7860"/>
    <w:rsid w:val="00AB11F8"/>
    <w:rsid w:val="00AB5197"/>
    <w:rsid w:val="00AC3BF8"/>
    <w:rsid w:val="00AD1771"/>
    <w:rsid w:val="00AD3B5B"/>
    <w:rsid w:val="00AE247C"/>
    <w:rsid w:val="00AF4FA6"/>
    <w:rsid w:val="00AF55AD"/>
    <w:rsid w:val="00AF6F1D"/>
    <w:rsid w:val="00B0097F"/>
    <w:rsid w:val="00B01B4F"/>
    <w:rsid w:val="00B01F0D"/>
    <w:rsid w:val="00B0365A"/>
    <w:rsid w:val="00B11C04"/>
    <w:rsid w:val="00B121CB"/>
    <w:rsid w:val="00B17C6A"/>
    <w:rsid w:val="00B21D47"/>
    <w:rsid w:val="00B24BDB"/>
    <w:rsid w:val="00B24C0B"/>
    <w:rsid w:val="00B26D32"/>
    <w:rsid w:val="00B27047"/>
    <w:rsid w:val="00B27E64"/>
    <w:rsid w:val="00B32D09"/>
    <w:rsid w:val="00B40477"/>
    <w:rsid w:val="00B54806"/>
    <w:rsid w:val="00B554AD"/>
    <w:rsid w:val="00B560ED"/>
    <w:rsid w:val="00B56E0A"/>
    <w:rsid w:val="00B64BB9"/>
    <w:rsid w:val="00B65A3C"/>
    <w:rsid w:val="00B85803"/>
    <w:rsid w:val="00B90094"/>
    <w:rsid w:val="00BA0666"/>
    <w:rsid w:val="00BA25A0"/>
    <w:rsid w:val="00BA2DB3"/>
    <w:rsid w:val="00BA4EFD"/>
    <w:rsid w:val="00BA7066"/>
    <w:rsid w:val="00BB2B6F"/>
    <w:rsid w:val="00BB342E"/>
    <w:rsid w:val="00BB36B5"/>
    <w:rsid w:val="00BB6231"/>
    <w:rsid w:val="00BC1ADB"/>
    <w:rsid w:val="00BC1E57"/>
    <w:rsid w:val="00BD09CB"/>
    <w:rsid w:val="00BD2B59"/>
    <w:rsid w:val="00BD2DC9"/>
    <w:rsid w:val="00BD4C52"/>
    <w:rsid w:val="00BD5C17"/>
    <w:rsid w:val="00BE10D5"/>
    <w:rsid w:val="00BE357C"/>
    <w:rsid w:val="00BE40B2"/>
    <w:rsid w:val="00BE4B1A"/>
    <w:rsid w:val="00BE56B2"/>
    <w:rsid w:val="00BF16ED"/>
    <w:rsid w:val="00BF171A"/>
    <w:rsid w:val="00BF31D0"/>
    <w:rsid w:val="00BF3C4F"/>
    <w:rsid w:val="00BF5B68"/>
    <w:rsid w:val="00BF7B97"/>
    <w:rsid w:val="00C0366D"/>
    <w:rsid w:val="00C13E3D"/>
    <w:rsid w:val="00C146FE"/>
    <w:rsid w:val="00C15412"/>
    <w:rsid w:val="00C1627D"/>
    <w:rsid w:val="00C23166"/>
    <w:rsid w:val="00C235BC"/>
    <w:rsid w:val="00C249C6"/>
    <w:rsid w:val="00C264BD"/>
    <w:rsid w:val="00C327B4"/>
    <w:rsid w:val="00C328D2"/>
    <w:rsid w:val="00C32CE1"/>
    <w:rsid w:val="00C435EF"/>
    <w:rsid w:val="00C437D1"/>
    <w:rsid w:val="00C43D4D"/>
    <w:rsid w:val="00C44E86"/>
    <w:rsid w:val="00C50366"/>
    <w:rsid w:val="00C50A09"/>
    <w:rsid w:val="00C51B91"/>
    <w:rsid w:val="00C52861"/>
    <w:rsid w:val="00C54582"/>
    <w:rsid w:val="00C56DF6"/>
    <w:rsid w:val="00C63EF4"/>
    <w:rsid w:val="00C67FA3"/>
    <w:rsid w:val="00C74E1C"/>
    <w:rsid w:val="00C77E7D"/>
    <w:rsid w:val="00C842AB"/>
    <w:rsid w:val="00C8562D"/>
    <w:rsid w:val="00C92EAF"/>
    <w:rsid w:val="00C949ED"/>
    <w:rsid w:val="00C96025"/>
    <w:rsid w:val="00CA120D"/>
    <w:rsid w:val="00CA1B31"/>
    <w:rsid w:val="00CA3605"/>
    <w:rsid w:val="00CA6E30"/>
    <w:rsid w:val="00CB189E"/>
    <w:rsid w:val="00CB395B"/>
    <w:rsid w:val="00CB4B40"/>
    <w:rsid w:val="00CB7C03"/>
    <w:rsid w:val="00CC1A95"/>
    <w:rsid w:val="00CC1F2F"/>
    <w:rsid w:val="00CC2AD4"/>
    <w:rsid w:val="00CD1DE1"/>
    <w:rsid w:val="00CD563E"/>
    <w:rsid w:val="00CE0889"/>
    <w:rsid w:val="00CE1A5B"/>
    <w:rsid w:val="00CE3514"/>
    <w:rsid w:val="00CE453C"/>
    <w:rsid w:val="00CE6954"/>
    <w:rsid w:val="00CE7752"/>
    <w:rsid w:val="00CF33FD"/>
    <w:rsid w:val="00CF4B8E"/>
    <w:rsid w:val="00CF5FF8"/>
    <w:rsid w:val="00D02774"/>
    <w:rsid w:val="00D046BE"/>
    <w:rsid w:val="00D10F54"/>
    <w:rsid w:val="00D17C5D"/>
    <w:rsid w:val="00D22065"/>
    <w:rsid w:val="00D2256D"/>
    <w:rsid w:val="00D2553D"/>
    <w:rsid w:val="00D2592E"/>
    <w:rsid w:val="00D307CB"/>
    <w:rsid w:val="00D3280E"/>
    <w:rsid w:val="00D3671C"/>
    <w:rsid w:val="00D36C4B"/>
    <w:rsid w:val="00D37C47"/>
    <w:rsid w:val="00D40B9A"/>
    <w:rsid w:val="00D42EB9"/>
    <w:rsid w:val="00D4325D"/>
    <w:rsid w:val="00D50360"/>
    <w:rsid w:val="00D510CF"/>
    <w:rsid w:val="00D51B5E"/>
    <w:rsid w:val="00D53630"/>
    <w:rsid w:val="00D545B1"/>
    <w:rsid w:val="00D54A61"/>
    <w:rsid w:val="00D5640B"/>
    <w:rsid w:val="00D612A5"/>
    <w:rsid w:val="00D61C82"/>
    <w:rsid w:val="00D626D8"/>
    <w:rsid w:val="00D62B4F"/>
    <w:rsid w:val="00D71F73"/>
    <w:rsid w:val="00D72D55"/>
    <w:rsid w:val="00D77EA0"/>
    <w:rsid w:val="00D87F2B"/>
    <w:rsid w:val="00D922D7"/>
    <w:rsid w:val="00D954E2"/>
    <w:rsid w:val="00DA225B"/>
    <w:rsid w:val="00DB139C"/>
    <w:rsid w:val="00DB514D"/>
    <w:rsid w:val="00DD2A33"/>
    <w:rsid w:val="00DE13C8"/>
    <w:rsid w:val="00DE32D6"/>
    <w:rsid w:val="00DE4C8E"/>
    <w:rsid w:val="00DE6723"/>
    <w:rsid w:val="00DF0D0A"/>
    <w:rsid w:val="00DF4462"/>
    <w:rsid w:val="00E027FF"/>
    <w:rsid w:val="00E050F8"/>
    <w:rsid w:val="00E12C6A"/>
    <w:rsid w:val="00E15D9D"/>
    <w:rsid w:val="00E20EE0"/>
    <w:rsid w:val="00E21BB0"/>
    <w:rsid w:val="00E2696D"/>
    <w:rsid w:val="00E41193"/>
    <w:rsid w:val="00E42247"/>
    <w:rsid w:val="00E51BAE"/>
    <w:rsid w:val="00E54EB8"/>
    <w:rsid w:val="00E6057D"/>
    <w:rsid w:val="00E61163"/>
    <w:rsid w:val="00E63798"/>
    <w:rsid w:val="00E70380"/>
    <w:rsid w:val="00E77A97"/>
    <w:rsid w:val="00E807A2"/>
    <w:rsid w:val="00E8141E"/>
    <w:rsid w:val="00E8301E"/>
    <w:rsid w:val="00E834AA"/>
    <w:rsid w:val="00E86D17"/>
    <w:rsid w:val="00E8770F"/>
    <w:rsid w:val="00E96CC2"/>
    <w:rsid w:val="00E973D3"/>
    <w:rsid w:val="00E97C72"/>
    <w:rsid w:val="00EA1F4D"/>
    <w:rsid w:val="00EA3BD7"/>
    <w:rsid w:val="00EB3195"/>
    <w:rsid w:val="00EB70CC"/>
    <w:rsid w:val="00EB7C22"/>
    <w:rsid w:val="00EB7D88"/>
    <w:rsid w:val="00EC4D21"/>
    <w:rsid w:val="00ED3339"/>
    <w:rsid w:val="00EE0BF2"/>
    <w:rsid w:val="00EE4DEB"/>
    <w:rsid w:val="00EE6766"/>
    <w:rsid w:val="00EF300D"/>
    <w:rsid w:val="00EF4CA0"/>
    <w:rsid w:val="00F00DE4"/>
    <w:rsid w:val="00F0644D"/>
    <w:rsid w:val="00F06DFA"/>
    <w:rsid w:val="00F10830"/>
    <w:rsid w:val="00F12290"/>
    <w:rsid w:val="00F15024"/>
    <w:rsid w:val="00F1512F"/>
    <w:rsid w:val="00F16FAE"/>
    <w:rsid w:val="00F17169"/>
    <w:rsid w:val="00F20867"/>
    <w:rsid w:val="00F20AB0"/>
    <w:rsid w:val="00F20AB6"/>
    <w:rsid w:val="00F220FF"/>
    <w:rsid w:val="00F26586"/>
    <w:rsid w:val="00F2667B"/>
    <w:rsid w:val="00F3021E"/>
    <w:rsid w:val="00F33109"/>
    <w:rsid w:val="00F36DBC"/>
    <w:rsid w:val="00F40CA4"/>
    <w:rsid w:val="00F41D4C"/>
    <w:rsid w:val="00F50710"/>
    <w:rsid w:val="00F53519"/>
    <w:rsid w:val="00F5351C"/>
    <w:rsid w:val="00F53F51"/>
    <w:rsid w:val="00F5469C"/>
    <w:rsid w:val="00F55AB5"/>
    <w:rsid w:val="00F576AF"/>
    <w:rsid w:val="00F62D33"/>
    <w:rsid w:val="00F7065F"/>
    <w:rsid w:val="00F81093"/>
    <w:rsid w:val="00F81738"/>
    <w:rsid w:val="00F911CA"/>
    <w:rsid w:val="00F913D3"/>
    <w:rsid w:val="00F931FC"/>
    <w:rsid w:val="00FA4920"/>
    <w:rsid w:val="00FA53AB"/>
    <w:rsid w:val="00FA5FBE"/>
    <w:rsid w:val="00FA627D"/>
    <w:rsid w:val="00FA7F23"/>
    <w:rsid w:val="00FB07FC"/>
    <w:rsid w:val="00FB2E98"/>
    <w:rsid w:val="00FB7CA7"/>
    <w:rsid w:val="00FC2F8B"/>
    <w:rsid w:val="00FC382A"/>
    <w:rsid w:val="00FC43A7"/>
    <w:rsid w:val="00FC4A89"/>
    <w:rsid w:val="00FC5628"/>
    <w:rsid w:val="00FC5DE7"/>
    <w:rsid w:val="00FC7F33"/>
    <w:rsid w:val="00FD4E10"/>
    <w:rsid w:val="00FE1C1C"/>
    <w:rsid w:val="00FE4B51"/>
    <w:rsid w:val="00FE5018"/>
    <w:rsid w:val="00FE55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EF0B8"/>
  <w15:docId w15:val="{5BB91630-2503-4F5E-B8C6-2524A102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350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BalloonText">
    <w:name w:val="Balloon Text"/>
    <w:basedOn w:val="Normal"/>
    <w:link w:val="BalloonTextChar"/>
    <w:semiHidden/>
    <w:unhideWhenUsed/>
    <w:rsid w:val="00FC5DE7"/>
    <w:rPr>
      <w:rFonts w:ascii="Segoe UI" w:hAnsi="Segoe UI" w:cs="Segoe UI"/>
      <w:sz w:val="18"/>
      <w:szCs w:val="18"/>
    </w:rPr>
  </w:style>
  <w:style w:type="character" w:customStyle="1" w:styleId="BalloonTextChar">
    <w:name w:val="Balloon Text Char"/>
    <w:basedOn w:val="DefaultParagraphFont"/>
    <w:link w:val="BalloonText"/>
    <w:semiHidden/>
    <w:rsid w:val="00FC5DE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9390F"/>
    <w:rPr>
      <w:sz w:val="16"/>
      <w:szCs w:val="16"/>
    </w:rPr>
  </w:style>
  <w:style w:type="paragraph" w:styleId="CommentText">
    <w:name w:val="annotation text"/>
    <w:basedOn w:val="Normal"/>
    <w:link w:val="CommentTextChar"/>
    <w:uiPriority w:val="99"/>
    <w:unhideWhenUsed/>
    <w:rsid w:val="0039390F"/>
    <w:rPr>
      <w:sz w:val="20"/>
      <w:szCs w:val="20"/>
    </w:rPr>
  </w:style>
  <w:style w:type="character" w:customStyle="1" w:styleId="CommentTextChar">
    <w:name w:val="Comment Text Char"/>
    <w:basedOn w:val="DefaultParagraphFont"/>
    <w:link w:val="CommentText"/>
    <w:uiPriority w:val="99"/>
    <w:rsid w:val="0039390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39390F"/>
    <w:rPr>
      <w:b/>
      <w:bCs/>
    </w:rPr>
  </w:style>
  <w:style w:type="character" w:customStyle="1" w:styleId="CommentSubjectChar">
    <w:name w:val="Comment Subject Char"/>
    <w:basedOn w:val="CommentTextChar"/>
    <w:link w:val="CommentSubject"/>
    <w:semiHidden/>
    <w:rsid w:val="0039390F"/>
    <w:rPr>
      <w:rFonts w:ascii="Times New Roman" w:hAnsi="Times New Roman"/>
      <w:b/>
      <w:bCs/>
      <w:lang w:eastAsia="en-US"/>
    </w:rPr>
  </w:style>
  <w:style w:type="paragraph" w:customStyle="1" w:styleId="Tekst">
    <w:name w:val="Tekst"/>
    <w:autoRedefine/>
    <w:qFormat/>
    <w:rsid w:val="004C68B4"/>
    <w:pPr>
      <w:tabs>
        <w:tab w:val="left" w:pos="142"/>
        <w:tab w:val="left" w:pos="284"/>
      </w:tabs>
      <w:jc w:val="both"/>
    </w:pPr>
    <w:rPr>
      <w:rFonts w:ascii="Times New Roman" w:eastAsia="SimSun" w:hAnsi="Times New Roman" w:cs="Mangal"/>
      <w:bCs/>
      <w:kern w:val="1"/>
      <w:sz w:val="24"/>
      <w:szCs w:val="24"/>
      <w:lang w:eastAsia="zh-CN" w:bidi="hi-IN"/>
    </w:rPr>
  </w:style>
  <w:style w:type="paragraph" w:styleId="FootnoteText">
    <w:name w:val="footnote text"/>
    <w:basedOn w:val="Normal"/>
    <w:link w:val="FootnoteTextChar"/>
    <w:semiHidden/>
    <w:unhideWhenUsed/>
    <w:rsid w:val="004C68B4"/>
    <w:rPr>
      <w:sz w:val="20"/>
      <w:szCs w:val="20"/>
    </w:rPr>
  </w:style>
  <w:style w:type="character" w:customStyle="1" w:styleId="FootnoteTextChar">
    <w:name w:val="Footnote Text Char"/>
    <w:basedOn w:val="DefaultParagraphFont"/>
    <w:link w:val="FootnoteText"/>
    <w:semiHidden/>
    <w:rsid w:val="004C68B4"/>
    <w:rPr>
      <w:rFonts w:ascii="Times New Roman" w:hAnsi="Times New Roman"/>
      <w:lang w:eastAsia="en-US"/>
    </w:rPr>
  </w:style>
  <w:style w:type="character" w:styleId="FootnoteReference">
    <w:name w:val="footnote reference"/>
    <w:aliases w:val="Footnote symbol,fr"/>
    <w:basedOn w:val="DefaultParagraphFont"/>
    <w:unhideWhenUsed/>
    <w:rsid w:val="004C68B4"/>
    <w:rPr>
      <w:vertAlign w:val="superscript"/>
    </w:rPr>
  </w:style>
  <w:style w:type="paragraph" w:customStyle="1" w:styleId="Default">
    <w:name w:val="Default"/>
    <w:rsid w:val="006C2EC3"/>
    <w:pPr>
      <w:autoSpaceDE w:val="0"/>
      <w:autoSpaceDN w:val="0"/>
      <w:adjustRightInd w:val="0"/>
    </w:pPr>
    <w:rPr>
      <w:rFonts w:ascii="Times New Roman" w:hAnsi="Times New Roman"/>
      <w:color w:val="000000"/>
      <w:sz w:val="24"/>
      <w:szCs w:val="24"/>
    </w:rPr>
  </w:style>
  <w:style w:type="character" w:styleId="Hyperlink">
    <w:name w:val="Hyperlink"/>
    <w:basedOn w:val="DefaultParagraphFont"/>
    <w:unhideWhenUsed/>
    <w:rsid w:val="001E2EA8"/>
    <w:rPr>
      <w:color w:val="0000FF" w:themeColor="hyperlink"/>
      <w:u w:val="single"/>
    </w:rPr>
  </w:style>
  <w:style w:type="paragraph" w:styleId="Header">
    <w:name w:val="header"/>
    <w:basedOn w:val="Normal"/>
    <w:link w:val="HeaderChar"/>
    <w:unhideWhenUsed/>
    <w:rsid w:val="003E14CA"/>
    <w:pPr>
      <w:tabs>
        <w:tab w:val="center" w:pos="4680"/>
        <w:tab w:val="right" w:pos="9360"/>
      </w:tabs>
    </w:pPr>
  </w:style>
  <w:style w:type="character" w:customStyle="1" w:styleId="HeaderChar">
    <w:name w:val="Header Char"/>
    <w:basedOn w:val="DefaultParagraphFont"/>
    <w:link w:val="Header"/>
    <w:rsid w:val="003E14CA"/>
    <w:rPr>
      <w:rFonts w:ascii="Times New Roman" w:hAnsi="Times New Roman"/>
      <w:sz w:val="24"/>
      <w:szCs w:val="24"/>
      <w:lang w:eastAsia="en-US"/>
    </w:rPr>
  </w:style>
  <w:style w:type="paragraph" w:styleId="Footer">
    <w:name w:val="footer"/>
    <w:basedOn w:val="Normal"/>
    <w:link w:val="FooterChar"/>
    <w:uiPriority w:val="99"/>
    <w:unhideWhenUsed/>
    <w:rsid w:val="003E14CA"/>
    <w:pPr>
      <w:tabs>
        <w:tab w:val="center" w:pos="4680"/>
        <w:tab w:val="right" w:pos="9360"/>
      </w:tabs>
    </w:pPr>
  </w:style>
  <w:style w:type="character" w:customStyle="1" w:styleId="FooterChar">
    <w:name w:val="Footer Char"/>
    <w:basedOn w:val="DefaultParagraphFont"/>
    <w:link w:val="Footer"/>
    <w:uiPriority w:val="99"/>
    <w:rsid w:val="003E14CA"/>
    <w:rPr>
      <w:rFonts w:ascii="Times New Roman" w:hAnsi="Times New Roman"/>
      <w:sz w:val="24"/>
      <w:szCs w:val="24"/>
      <w:lang w:eastAsia="en-US"/>
    </w:rPr>
  </w:style>
  <w:style w:type="paragraph" w:styleId="Revision">
    <w:name w:val="Revision"/>
    <w:hidden/>
    <w:uiPriority w:val="99"/>
    <w:semiHidden/>
    <w:rsid w:val="00202304"/>
    <w:rPr>
      <w:rFonts w:ascii="Times New Roman" w:hAnsi="Times New Roman"/>
      <w:sz w:val="24"/>
      <w:szCs w:val="24"/>
      <w:lang w:eastAsia="en-US"/>
    </w:rPr>
  </w:style>
  <w:style w:type="paragraph" w:styleId="Caption">
    <w:name w:val="caption"/>
    <w:basedOn w:val="Normal"/>
    <w:next w:val="Normal"/>
    <w:uiPriority w:val="35"/>
    <w:unhideWhenUsed/>
    <w:qFormat/>
    <w:rsid w:val="00C437D1"/>
    <w:pPr>
      <w:spacing w:after="200"/>
    </w:pPr>
    <w:rPr>
      <w:i/>
      <w:iCs/>
      <w:color w:val="1F497D" w:themeColor="text2"/>
      <w:sz w:val="18"/>
      <w:szCs w:val="18"/>
    </w:rPr>
  </w:style>
  <w:style w:type="paragraph" w:customStyle="1" w:styleId="AK">
    <w:name w:val="AK"/>
    <w:autoRedefine/>
    <w:qFormat/>
    <w:rsid w:val="00C54582"/>
    <w:pPr>
      <w:keepNext/>
      <w:keepLines/>
      <w:suppressLineNumbers/>
      <w:jc w:val="right"/>
    </w:pPr>
    <w:rPr>
      <w:rFonts w:ascii="Times New Roman" w:eastAsia="SimSun" w:hAnsi="Times New Roman"/>
      <w:bCs/>
      <w:kern w:val="1"/>
      <w:lang w:eastAsia="zh-CN" w:bidi="hi-IN"/>
    </w:rPr>
  </w:style>
  <w:style w:type="character" w:customStyle="1" w:styleId="Heading4Char">
    <w:name w:val="Heading 4 Char"/>
    <w:basedOn w:val="DefaultParagraphFont"/>
    <w:link w:val="Heading4"/>
    <w:uiPriority w:val="9"/>
    <w:semiHidden/>
    <w:rsid w:val="00635068"/>
    <w:rPr>
      <w:rFonts w:asciiTheme="majorHAnsi" w:eastAsiaTheme="majorEastAsia" w:hAnsiTheme="majorHAnsi" w:cstheme="majorBidi"/>
      <w:i/>
      <w:iCs/>
      <w:color w:val="365F91" w:themeColor="accent1" w:themeShade="BF"/>
      <w:sz w:val="24"/>
      <w:szCs w:val="24"/>
      <w:lang w:eastAsia="en-US"/>
    </w:rPr>
  </w:style>
  <w:style w:type="character" w:styleId="FollowedHyperlink">
    <w:name w:val="FollowedHyperlink"/>
    <w:basedOn w:val="DefaultParagraphFont"/>
    <w:semiHidden/>
    <w:unhideWhenUsed/>
    <w:rsid w:val="00EB70CC"/>
    <w:rPr>
      <w:color w:val="800080" w:themeColor="followedHyperlink"/>
      <w:u w:val="single"/>
    </w:rPr>
  </w:style>
  <w:style w:type="paragraph" w:customStyle="1" w:styleId="oj-doc-ti">
    <w:name w:val="oj-doc-ti"/>
    <w:basedOn w:val="Normal"/>
    <w:rsid w:val="00D50360"/>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nnes.puu@agri.ee"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lex.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bestonia.ee/projektist/trassikori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8B54-7D17-48AF-AFE7-05D0AF43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2389</Words>
  <Characters>16844</Characters>
  <Application>Microsoft Office Word</Application>
  <DocSecurity>0</DocSecurity>
  <Lines>140</Lines>
  <Paragraphs>38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Taavi Kurvits</dc:creator>
  <cp:lastModifiedBy>Hannes Puu</cp:lastModifiedBy>
  <cp:revision>2</cp:revision>
  <cp:lastPrinted>2021-04-22T05:52:00Z</cp:lastPrinted>
  <dcterms:created xsi:type="dcterms:W3CDTF">2021-04-27T05:35:00Z</dcterms:created>
  <dcterms:modified xsi:type="dcterms:W3CDTF">2021-04-27T05:35:00Z</dcterms:modified>
</cp:coreProperties>
</file>