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B4AF8" w14:textId="77777777" w:rsidR="00AA68A1" w:rsidRDefault="00AA68A1" w:rsidP="00224887">
      <w:pPr>
        <w:spacing w:line="276" w:lineRule="auto"/>
        <w:jc w:val="right"/>
        <w:rPr>
          <w:b/>
          <w:bCs/>
        </w:rPr>
      </w:pPr>
    </w:p>
    <w:p w14:paraId="3137F2E6" w14:textId="77777777" w:rsidR="00C01759" w:rsidRPr="002D6483" w:rsidRDefault="00C01759" w:rsidP="00C01759">
      <w:pPr>
        <w:spacing w:line="276" w:lineRule="auto"/>
        <w:jc w:val="center"/>
        <w:rPr>
          <w:b/>
          <w:bCs/>
        </w:rPr>
      </w:pPr>
      <w:r w:rsidRPr="002D6483">
        <w:rPr>
          <w:b/>
          <w:bCs/>
        </w:rPr>
        <w:t>SELETUSKIRI</w:t>
      </w:r>
    </w:p>
    <w:p w14:paraId="4A6E1D1F" w14:textId="77777777" w:rsidR="00C01759" w:rsidRPr="00991463" w:rsidRDefault="00C01759" w:rsidP="00C01759">
      <w:pPr>
        <w:spacing w:line="276" w:lineRule="auto"/>
        <w:jc w:val="center"/>
        <w:rPr>
          <w:b/>
          <w:bCs/>
        </w:rPr>
      </w:pPr>
      <w:r>
        <w:rPr>
          <w:b/>
          <w:bCs/>
        </w:rPr>
        <w:t>m</w:t>
      </w:r>
      <w:r w:rsidRPr="00991463">
        <w:rPr>
          <w:b/>
          <w:bCs/>
        </w:rPr>
        <w:t xml:space="preserve">aaeluministri määruse </w:t>
      </w:r>
      <w:r w:rsidR="008A6AC0">
        <w:rPr>
          <w:b/>
        </w:rPr>
        <w:t>„</w:t>
      </w:r>
      <w:r w:rsidR="007768F9">
        <w:rPr>
          <w:b/>
        </w:rPr>
        <w:t>M</w:t>
      </w:r>
      <w:r w:rsidR="004128F4">
        <w:rPr>
          <w:b/>
        </w:rPr>
        <w:t>aaeluministri määruste muutmine</w:t>
      </w:r>
      <w:r w:rsidR="00D91E80">
        <w:rPr>
          <w:b/>
        </w:rPr>
        <w:t xml:space="preserve"> seoses toetatava tegevuse elluviimise t</w:t>
      </w:r>
      <w:bookmarkStart w:id="0" w:name="_GoBack"/>
      <w:bookmarkEnd w:id="0"/>
      <w:r w:rsidR="00D91E80">
        <w:rPr>
          <w:b/>
        </w:rPr>
        <w:t>ähtaja pikendamisega</w:t>
      </w:r>
      <w:r w:rsidR="008A6AC0">
        <w:rPr>
          <w:b/>
          <w:bCs/>
        </w:rPr>
        <w:t>“</w:t>
      </w:r>
      <w:r w:rsidRPr="00991463">
        <w:rPr>
          <w:b/>
          <w:bCs/>
        </w:rPr>
        <w:t xml:space="preserve"> eelnõu juurde</w:t>
      </w:r>
    </w:p>
    <w:p w14:paraId="6A76A458" w14:textId="4772C31D" w:rsidR="00C01759" w:rsidRDefault="00C01759" w:rsidP="00C01759">
      <w:pPr>
        <w:spacing w:line="276" w:lineRule="auto"/>
        <w:rPr>
          <w:b/>
          <w:bCs/>
        </w:rPr>
      </w:pPr>
    </w:p>
    <w:p w14:paraId="648BBABA" w14:textId="77777777" w:rsidR="00C01759" w:rsidRDefault="00C01759" w:rsidP="00C01759">
      <w:pPr>
        <w:spacing w:line="276" w:lineRule="auto"/>
        <w:rPr>
          <w:b/>
          <w:bCs/>
        </w:rPr>
      </w:pPr>
      <w:r w:rsidRPr="002D6483">
        <w:rPr>
          <w:b/>
          <w:bCs/>
        </w:rPr>
        <w:t>1. Sissejuhatus</w:t>
      </w:r>
    </w:p>
    <w:p w14:paraId="5F876DF3" w14:textId="77777777" w:rsidR="00C01759" w:rsidRDefault="00C01759" w:rsidP="00AF229D">
      <w:pPr>
        <w:rPr>
          <w:b/>
          <w:bCs/>
        </w:rPr>
      </w:pPr>
    </w:p>
    <w:p w14:paraId="6991F132" w14:textId="77777777" w:rsidR="00C01759" w:rsidRDefault="00C01759" w:rsidP="00E03FA0">
      <w:pPr>
        <w:pStyle w:val="Tekst"/>
      </w:pPr>
      <w:r>
        <w:t>Maaeluministri m</w:t>
      </w:r>
      <w:r w:rsidRPr="007456F3">
        <w:t>äärus kehtestatakse Euroopa Liidu ühise põllumajanduspoliitika rakendamise</w:t>
      </w:r>
      <w:r>
        <w:t xml:space="preserve"> seaduse § 67 lõike 2 alusel.</w:t>
      </w:r>
      <w:r w:rsidR="00E11B07">
        <w:t xml:space="preserve"> </w:t>
      </w:r>
    </w:p>
    <w:p w14:paraId="3642FD70" w14:textId="77777777" w:rsidR="004D2285" w:rsidRDefault="004D2285" w:rsidP="004D2285">
      <w:pPr>
        <w:pStyle w:val="Tekst"/>
      </w:pPr>
    </w:p>
    <w:p w14:paraId="62D7B121" w14:textId="4CB12A79" w:rsidR="004D2285" w:rsidRDefault="004D2285" w:rsidP="004D2285">
      <w:pPr>
        <w:pStyle w:val="Tekst"/>
      </w:pPr>
      <w:r>
        <w:t xml:space="preserve">Maaeluministri määrusega „Maaeluministri määruste muutmine seoses toetatava tegevuse elluviimise tähtaja pikendamisega“ (edaspidi </w:t>
      </w:r>
      <w:r w:rsidRPr="004D2285">
        <w:rPr>
          <w:i/>
        </w:rPr>
        <w:t>eelnõu</w:t>
      </w:r>
      <w:r w:rsidR="00421169">
        <w:t>) muudetakse kolmes</w:t>
      </w:r>
      <w:r>
        <w:t xml:space="preserve"> maaeluministri määruses toetatavate tegevuste elluviimise tähtaegu. Nimetatud muudatused tehakse järg</w:t>
      </w:r>
      <w:r w:rsidR="008E711F">
        <w:t>mistes määrustes</w:t>
      </w:r>
      <w:r>
        <w:t>:</w:t>
      </w:r>
    </w:p>
    <w:p w14:paraId="6BE5BCEA" w14:textId="1EDD77D9" w:rsidR="004D2285" w:rsidRDefault="004D2285" w:rsidP="001B2506">
      <w:pPr>
        <w:pStyle w:val="Tekst"/>
        <w:numPr>
          <w:ilvl w:val="0"/>
          <w:numId w:val="8"/>
        </w:numPr>
      </w:pPr>
      <w:r>
        <w:t>m</w:t>
      </w:r>
      <w:r w:rsidRPr="004D2285">
        <w:t>aaeluministri 18. septembri 2015. a määrus nr 5 „Keskmise suurusega ettevõtjate ja suurettevõtjate põllumajandustoodete töötlemise ning turustamise investeeringutoetus</w:t>
      </w:r>
      <w:r w:rsidR="001B2506" w:rsidRPr="001B2506">
        <w:t>“</w:t>
      </w:r>
      <w:r w:rsidR="00A84B7C">
        <w:t xml:space="preserve"> (edaspidi </w:t>
      </w:r>
      <w:r w:rsidR="00A84B7C" w:rsidRPr="00A84B7C">
        <w:rPr>
          <w:i/>
        </w:rPr>
        <w:t>määrus nr 5</w:t>
      </w:r>
      <w:r w:rsidR="00A84B7C">
        <w:t>)</w:t>
      </w:r>
      <w:r>
        <w:t>;</w:t>
      </w:r>
    </w:p>
    <w:p w14:paraId="5D1EA87F" w14:textId="76241B09" w:rsidR="00421169" w:rsidRPr="00421169" w:rsidRDefault="00421169" w:rsidP="001B2506">
      <w:pPr>
        <w:pStyle w:val="ListParagraph"/>
        <w:numPr>
          <w:ilvl w:val="0"/>
          <w:numId w:val="8"/>
        </w:numPr>
        <w:rPr>
          <w:rFonts w:eastAsia="SimSun" w:cs="Mangal"/>
          <w:bCs/>
          <w:kern w:val="1"/>
          <w:lang w:eastAsia="zh-CN" w:bidi="hi-IN"/>
        </w:rPr>
      </w:pPr>
      <w:r w:rsidRPr="00421169">
        <w:rPr>
          <w:rFonts w:eastAsia="SimSun" w:cs="Mangal"/>
          <w:bCs/>
          <w:kern w:val="1"/>
          <w:lang w:eastAsia="zh-CN" w:bidi="hi-IN"/>
        </w:rPr>
        <w:t>maaeluministri 9. septembri 2015. a määrus nr 3 „Lühikeste tarneahelate või kohalike turgude kaudu põllumajandustoodete ja toidu turustamisvõimaluste arendamise toetus</w:t>
      </w:r>
      <w:r w:rsidR="001B2506" w:rsidRPr="001B2506">
        <w:rPr>
          <w:rFonts w:eastAsia="SimSun" w:cs="Mangal"/>
          <w:bCs/>
          <w:kern w:val="1"/>
          <w:lang w:eastAsia="zh-CN" w:bidi="hi-IN"/>
        </w:rPr>
        <w:t>“</w:t>
      </w:r>
      <w:r w:rsidR="00A84B7C">
        <w:rPr>
          <w:rFonts w:eastAsia="SimSun" w:cs="Mangal"/>
          <w:bCs/>
          <w:kern w:val="1"/>
          <w:lang w:eastAsia="zh-CN" w:bidi="hi-IN"/>
        </w:rPr>
        <w:t xml:space="preserve"> (edaspidi </w:t>
      </w:r>
      <w:r w:rsidR="00A84B7C" w:rsidRPr="00A84B7C">
        <w:rPr>
          <w:rFonts w:eastAsia="SimSun" w:cs="Mangal"/>
          <w:bCs/>
          <w:i/>
          <w:kern w:val="1"/>
          <w:lang w:eastAsia="zh-CN" w:bidi="hi-IN"/>
        </w:rPr>
        <w:t>määrus nr 3</w:t>
      </w:r>
      <w:r w:rsidR="00A84B7C">
        <w:rPr>
          <w:rFonts w:eastAsia="SimSun" w:cs="Mangal"/>
          <w:bCs/>
          <w:kern w:val="1"/>
          <w:lang w:eastAsia="zh-CN" w:bidi="hi-IN"/>
        </w:rPr>
        <w:t>)</w:t>
      </w:r>
      <w:r w:rsidRPr="00421169">
        <w:rPr>
          <w:rFonts w:eastAsia="SimSun" w:cs="Mangal"/>
          <w:bCs/>
          <w:kern w:val="1"/>
          <w:lang w:eastAsia="zh-CN" w:bidi="hi-IN"/>
        </w:rPr>
        <w:t>;</w:t>
      </w:r>
    </w:p>
    <w:p w14:paraId="413D5BDC" w14:textId="3543A20C" w:rsidR="004D2285" w:rsidRDefault="004D2285" w:rsidP="001B2506">
      <w:pPr>
        <w:pStyle w:val="Tekst"/>
        <w:numPr>
          <w:ilvl w:val="0"/>
          <w:numId w:val="8"/>
        </w:numPr>
      </w:pPr>
      <w:r>
        <w:t>m</w:t>
      </w:r>
      <w:r w:rsidRPr="004D2285">
        <w:t>aaeluministri 30. septembri 2015. a määrus nr 6 „Tunnustatud tootjarühma põllumajandustoodete töötlemise ja turustamise investeeringutoetus</w:t>
      </w:r>
      <w:r w:rsidR="001B2506" w:rsidRPr="001B2506">
        <w:t>“</w:t>
      </w:r>
      <w:r w:rsidR="00A84B7C">
        <w:t xml:space="preserve"> (edaspidi </w:t>
      </w:r>
      <w:r w:rsidR="00A84B7C" w:rsidRPr="00A84B7C">
        <w:rPr>
          <w:i/>
        </w:rPr>
        <w:t xml:space="preserve">määrus nr </w:t>
      </w:r>
      <w:r w:rsidR="00A84B7C">
        <w:t>6)</w:t>
      </w:r>
      <w:r>
        <w:t>.</w:t>
      </w:r>
    </w:p>
    <w:p w14:paraId="07B31B61" w14:textId="77777777" w:rsidR="004D2285" w:rsidRDefault="004D2285" w:rsidP="004D2285">
      <w:pPr>
        <w:pStyle w:val="Tekst"/>
      </w:pPr>
    </w:p>
    <w:p w14:paraId="7D2E0A49" w14:textId="74512A32" w:rsidR="004D2285" w:rsidRDefault="004D2285" w:rsidP="004D2285">
      <w:pPr>
        <w:pStyle w:val="Tekst"/>
      </w:pPr>
      <w:r>
        <w:t xml:space="preserve">Määrus hõlmab „Eesti maaelu </w:t>
      </w:r>
      <w:r w:rsidR="008E711F">
        <w:t>arengukava 2014–2020“</w:t>
      </w:r>
      <w:r>
        <w:t xml:space="preserve"> meetme 4 „Investeeringud materiaalsesse varasse“ tegevuse liigi 4.2 alameet</w:t>
      </w:r>
      <w:r w:rsidR="00377111">
        <w:t>meid</w:t>
      </w:r>
      <w:r>
        <w:t xml:space="preserve"> </w:t>
      </w:r>
      <w:r w:rsidR="004A4465">
        <w:t xml:space="preserve">4.2.2 </w:t>
      </w:r>
      <w:r w:rsidR="004A4465" w:rsidRPr="004A4465">
        <w:t>„Keskmise suurusega ettevõtjate ja suurettevõtjate põllumajandustoodete töötlemise ning turustamise investeeringutoetus</w:t>
      </w:r>
      <w:r w:rsidR="004A4465">
        <w:t xml:space="preserve">“ (edaspidi </w:t>
      </w:r>
      <w:r w:rsidR="004A4465" w:rsidRPr="004A4465">
        <w:rPr>
          <w:i/>
        </w:rPr>
        <w:t>meede 4.2.2</w:t>
      </w:r>
      <w:r>
        <w:t xml:space="preserve">) </w:t>
      </w:r>
      <w:r w:rsidR="00377111">
        <w:t>ja</w:t>
      </w:r>
      <w:r>
        <w:t xml:space="preserve"> </w:t>
      </w:r>
      <w:r w:rsidR="004A4465">
        <w:t xml:space="preserve">4.2.3 </w:t>
      </w:r>
      <w:r w:rsidR="004A4465" w:rsidRPr="004A4465">
        <w:t>„Tunnustatud tootjarühma põllumajandustoodete töötlemise ja turustamise investeeringutoetus“</w:t>
      </w:r>
      <w:r w:rsidR="004A4465">
        <w:t xml:space="preserve"> (edaspidi </w:t>
      </w:r>
      <w:r w:rsidR="004A4465" w:rsidRPr="004A4465">
        <w:rPr>
          <w:i/>
        </w:rPr>
        <w:t>meede 4.2.3</w:t>
      </w:r>
      <w:r w:rsidR="00421169">
        <w:t xml:space="preserve">) </w:t>
      </w:r>
      <w:r w:rsidR="00377111">
        <w:t>ning</w:t>
      </w:r>
      <w:r w:rsidR="00421169">
        <w:t xml:space="preserve"> </w:t>
      </w:r>
      <w:r w:rsidR="00421169" w:rsidRPr="00421169">
        <w:t>meetme 16 „Koostöö“ tegevuse liiki 16.4 „Lühikesed tarneahelad ja kohalike turgude arendamine“</w:t>
      </w:r>
      <w:r w:rsidR="00421169">
        <w:t xml:space="preserve"> (edaspidi </w:t>
      </w:r>
      <w:r w:rsidR="00421169" w:rsidRPr="00421169">
        <w:rPr>
          <w:i/>
        </w:rPr>
        <w:t>meede 16.4</w:t>
      </w:r>
      <w:r w:rsidR="00421169">
        <w:t>).</w:t>
      </w:r>
    </w:p>
    <w:p w14:paraId="6A4D9F9B" w14:textId="77777777" w:rsidR="004D2285" w:rsidRDefault="004D2285" w:rsidP="004D2285">
      <w:pPr>
        <w:pStyle w:val="Tekst"/>
      </w:pPr>
    </w:p>
    <w:p w14:paraId="307EF686" w14:textId="7996A777" w:rsidR="00E94FFF" w:rsidRDefault="00AA6399" w:rsidP="004D2285">
      <w:pPr>
        <w:pStyle w:val="Tekst"/>
      </w:pPr>
      <w:r>
        <w:t>Meetme 4.2</w:t>
      </w:r>
      <w:r w:rsidR="004D2285">
        <w:t>.2 raames antava toetuse puhul pikendataks</w:t>
      </w:r>
      <w:r w:rsidR="006736B4">
        <w:t xml:space="preserve">e </w:t>
      </w:r>
      <w:r w:rsidR="00672F12">
        <w:t>toetatavate</w:t>
      </w:r>
      <w:r w:rsidR="00672F12" w:rsidRPr="006736B4">
        <w:t xml:space="preserve"> </w:t>
      </w:r>
      <w:r w:rsidR="006736B4" w:rsidRPr="006736B4">
        <w:t>t</w:t>
      </w:r>
      <w:r w:rsidR="006736B4">
        <w:t>egevuste elluviimise tähtaega IV taotlusvoorus (2018</w:t>
      </w:r>
      <w:r w:rsidR="006736B4" w:rsidRPr="006736B4">
        <w:t>. aastal) toetust saanud ettevõtjatel seniselt kahelt aastalt kolme</w:t>
      </w:r>
      <w:r w:rsidR="00A17C86">
        <w:t> </w:t>
      </w:r>
      <w:r w:rsidR="006736B4" w:rsidRPr="006736B4">
        <w:t>aastani.</w:t>
      </w:r>
      <w:r w:rsidR="006736B4">
        <w:t xml:space="preserve"> </w:t>
      </w:r>
      <w:r w:rsidR="00B5194F" w:rsidRPr="00A46992">
        <w:t>Meetme 4.2.3</w:t>
      </w:r>
      <w:r w:rsidR="00B5194F">
        <w:t xml:space="preserve"> raames antava toetuse puhul pikendatakse toetatavate tegevuste elluviimise tähtaega III taotlusvoorus (2018. aastal) toetust saanud ettevõtjatel seniselt kahelt aastalt kolme aastani.</w:t>
      </w:r>
      <w:r w:rsidR="00B5194F" w:rsidRPr="00B5194F">
        <w:t xml:space="preserve"> </w:t>
      </w:r>
      <w:r w:rsidR="00B5194F">
        <w:t xml:space="preserve">Meetme 16.4 raames antava toetuse puhul pikendatakse I taotlusvoorus (2015. aastal) toetust saanud toetuse saajatel </w:t>
      </w:r>
      <w:r w:rsidR="00B5194F" w:rsidRPr="00CB04C8">
        <w:t>projekti</w:t>
      </w:r>
      <w:r w:rsidR="00B5194F">
        <w:t xml:space="preserve"> elluviimise tähtaega kuni 2021. aasta 31. detsembrini.</w:t>
      </w:r>
    </w:p>
    <w:p w14:paraId="680704B2" w14:textId="07320CF8" w:rsidR="00D91BA3" w:rsidRDefault="00D91BA3" w:rsidP="004D2285">
      <w:pPr>
        <w:pStyle w:val="Tekst"/>
      </w:pPr>
    </w:p>
    <w:p w14:paraId="262833CD" w14:textId="4AA5B21C" w:rsidR="00D91BA3" w:rsidRDefault="00D91BA3" w:rsidP="004D2285">
      <w:pPr>
        <w:pStyle w:val="Tekst"/>
      </w:pPr>
      <w:r>
        <w:t>Toetatavate tegevuste elluviimine jäi</w:t>
      </w:r>
      <w:r w:rsidRPr="00D91BA3">
        <w:t xml:space="preserve"> ajale, kui riigis kuulutati välja eriolukord, mis kehtis 12.</w:t>
      </w:r>
      <w:r w:rsidR="00A17C86">
        <w:t> </w:t>
      </w:r>
      <w:r w:rsidRPr="00D91BA3">
        <w:t>märtsist kuni 17. maini 2020. aastal, seoses COVID-19 haigust põhjustava koroonaviiruse leviku tõkestamisega. COVID-19 haigust põhjustava koroonaviiruse puhang on avaldanud mõju kõikidele toetuse saajatele olenem</w:t>
      </w:r>
      <w:r>
        <w:t>ata nende tegevusvaldkonnast,</w:t>
      </w:r>
      <w:r w:rsidRPr="00D91BA3">
        <w:t xml:space="preserve"> investeeringu</w:t>
      </w:r>
      <w:r>
        <w:t xml:space="preserve"> või projekti</w:t>
      </w:r>
      <w:r w:rsidRPr="00D91BA3">
        <w:t xml:space="preserve"> suurusest ja eesmärgist, sest see mõjutas majandust tervikuna ja teeb seda ka edaspidi. Näiteks oli eriolukorrast tulenevate piirangute tõttu ja pärast seda ka nende järelmõjust tulenevalt raskendatud masinate, seadmete ja ehitusmaterjalide tarnimine ning mõningal määral oli katkestatud ka ehitustööde tegemine, muudeti või öeldi üles lepingud,</w:t>
      </w:r>
      <w:r>
        <w:t xml:space="preserve"> jäeti ära avalikud üritused,</w:t>
      </w:r>
      <w:r w:rsidRPr="00D91BA3">
        <w:t xml:space="preserve"> osa ettevõtteid lõpetas või katkestas oma tegevuse jms. Vajadus pikendada </w:t>
      </w:r>
      <w:r w:rsidR="00567601">
        <w:lastRenderedPageBreak/>
        <w:t xml:space="preserve">nimetatud meetmete puhul </w:t>
      </w:r>
      <w:r w:rsidRPr="00D91BA3">
        <w:t xml:space="preserve">toetatavate tegevuste elluviimise tähtaega on tingitud peamiselt </w:t>
      </w:r>
      <w:r>
        <w:t>toetuse saaja omavahendite puudumise</w:t>
      </w:r>
      <w:r w:rsidR="00052801">
        <w:t>st</w:t>
      </w:r>
      <w:r>
        <w:t>, ürituste ärajäämise</w:t>
      </w:r>
      <w:r w:rsidR="00052801">
        <w:t>st</w:t>
      </w:r>
      <w:r>
        <w:t xml:space="preserve"> ja </w:t>
      </w:r>
      <w:r w:rsidRPr="00D91BA3">
        <w:t>ehitajatega sõlmitud lepingutest tulenevate kohu</w:t>
      </w:r>
      <w:r>
        <w:t>stuste mittetäitmise</w:t>
      </w:r>
      <w:r w:rsidR="00052801">
        <w:t>st</w:t>
      </w:r>
      <w:r>
        <w:t>.</w:t>
      </w:r>
    </w:p>
    <w:p w14:paraId="7484183B" w14:textId="31DD573C" w:rsidR="006736B4" w:rsidRDefault="006736B4" w:rsidP="00EB5504">
      <w:pPr>
        <w:pStyle w:val="Tekst"/>
      </w:pPr>
    </w:p>
    <w:p w14:paraId="74784A4E" w14:textId="01F775CB" w:rsidR="00EB5504" w:rsidRPr="00EB5504" w:rsidRDefault="00EB5504" w:rsidP="00EB5504">
      <w:pPr>
        <w:pStyle w:val="Tekst"/>
      </w:pPr>
      <w:r w:rsidRPr="00EB5504">
        <w:t>Määruse eelnõu ja seletuskirja on koostanud Maaeluministeeriumi põllumajanduspoliitika osakonna põllumajandus- ja toidusektori arengu büroo juhataja Janeli Tikk (625</w:t>
      </w:r>
      <w:r w:rsidR="00A17C86">
        <w:t> </w:t>
      </w:r>
      <w:r w:rsidRPr="00EB5504">
        <w:t xml:space="preserve">6299, </w:t>
      </w:r>
      <w:hyperlink r:id="rId8" w:history="1">
        <w:r w:rsidRPr="0097469E">
          <w:rPr>
            <w:rStyle w:val="Hyperlink"/>
            <w:color w:val="auto"/>
            <w:u w:val="none"/>
          </w:rPr>
          <w:t>janeli.tikk@agri.ee</w:t>
        </w:r>
      </w:hyperlink>
      <w:r w:rsidRPr="0097469E">
        <w:t>)</w:t>
      </w:r>
      <w:r>
        <w:t xml:space="preserve">. </w:t>
      </w:r>
      <w:r w:rsidRPr="00EB5504">
        <w:t>Juriidilise ekspertiisi määruse eelnõule tegi Maaeluministeeriumi õigusosakonna nõunik Kadri Jänes (625 6539, kadri.janes@agri.ee). Keeleliselt toimetas eelnõu Maaeluministeeriumi õigusosakonna peaspetsialist Laura Ojava (625</w:t>
      </w:r>
      <w:r w:rsidR="00F933C1">
        <w:t> </w:t>
      </w:r>
      <w:r w:rsidRPr="00EB5504">
        <w:t>6523, laura.ojava@agri.ee).</w:t>
      </w:r>
    </w:p>
    <w:p w14:paraId="45C77C82" w14:textId="77777777" w:rsidR="004417A1" w:rsidRDefault="004417A1" w:rsidP="004417A1">
      <w:pPr>
        <w:pStyle w:val="Tekst"/>
      </w:pPr>
    </w:p>
    <w:p w14:paraId="11006FE8" w14:textId="77777777" w:rsidR="00C24E65" w:rsidRPr="00BC58E6" w:rsidRDefault="00C24E65" w:rsidP="004417A1">
      <w:pPr>
        <w:pStyle w:val="Tekst"/>
        <w:rPr>
          <w:b/>
        </w:rPr>
      </w:pPr>
      <w:r w:rsidRPr="00BC58E6">
        <w:rPr>
          <w:b/>
        </w:rPr>
        <w:t>2. Eelnõu sisu ja võrdlev analüüs</w:t>
      </w:r>
    </w:p>
    <w:p w14:paraId="58D1C13D" w14:textId="77777777" w:rsidR="00C24E65" w:rsidRDefault="00C24E65" w:rsidP="004417A1">
      <w:pPr>
        <w:pStyle w:val="Tekst"/>
      </w:pPr>
    </w:p>
    <w:p w14:paraId="01EF3694" w14:textId="4415CD04" w:rsidR="00C24E65" w:rsidRDefault="00D669E8" w:rsidP="004417A1">
      <w:pPr>
        <w:pStyle w:val="Tekst"/>
      </w:pPr>
      <w:r>
        <w:t xml:space="preserve">Eelnõu koosneb </w:t>
      </w:r>
      <w:r w:rsidR="00926C75">
        <w:t>kolmest</w:t>
      </w:r>
      <w:r w:rsidR="005932CA">
        <w:t xml:space="preserve"> </w:t>
      </w:r>
      <w:r>
        <w:t>paragrahvist</w:t>
      </w:r>
      <w:r w:rsidR="004417A1">
        <w:t>.</w:t>
      </w:r>
      <w:r w:rsidR="00677C05">
        <w:t xml:space="preserve"> </w:t>
      </w:r>
    </w:p>
    <w:p w14:paraId="510D7114" w14:textId="77777777" w:rsidR="00D669E8" w:rsidRDefault="00D669E8" w:rsidP="00900259">
      <w:pPr>
        <w:pStyle w:val="Tekst"/>
      </w:pPr>
    </w:p>
    <w:p w14:paraId="520E5078" w14:textId="42D8471F" w:rsidR="009F091E" w:rsidRDefault="006161B0" w:rsidP="009F091E">
      <w:pPr>
        <w:autoSpaceDE/>
        <w:autoSpaceDN/>
        <w:jc w:val="both"/>
        <w:rPr>
          <w:rFonts w:eastAsia="SimSun" w:cs="Mangal"/>
          <w:kern w:val="1"/>
          <w:lang w:eastAsia="zh-CN" w:bidi="hi-IN"/>
        </w:rPr>
      </w:pPr>
      <w:r>
        <w:rPr>
          <w:rFonts w:eastAsia="SimSun" w:cs="Mangal"/>
          <w:kern w:val="1"/>
          <w:lang w:eastAsia="zh-CN" w:bidi="hi-IN"/>
        </w:rPr>
        <w:t>Eelnõuga</w:t>
      </w:r>
      <w:r w:rsidR="005645EF">
        <w:rPr>
          <w:rFonts w:eastAsia="SimSun" w:cs="Mangal"/>
          <w:kern w:val="1"/>
          <w:lang w:eastAsia="zh-CN" w:bidi="hi-IN"/>
        </w:rPr>
        <w:t xml:space="preserve"> võimaldatakse toetuse saajatel </w:t>
      </w:r>
      <w:r w:rsidR="00D91E80">
        <w:rPr>
          <w:rFonts w:eastAsia="SimSun" w:cs="Mangal"/>
          <w:kern w:val="1"/>
          <w:lang w:eastAsia="zh-CN" w:bidi="hi-IN"/>
        </w:rPr>
        <w:t xml:space="preserve">muudetavate </w:t>
      </w:r>
      <w:r w:rsidR="005645EF">
        <w:rPr>
          <w:rFonts w:eastAsia="SimSun" w:cs="Mangal"/>
          <w:kern w:val="1"/>
          <w:lang w:eastAsia="zh-CN" w:bidi="hi-IN"/>
        </w:rPr>
        <w:t xml:space="preserve">määruste </w:t>
      </w:r>
      <w:r w:rsidR="00501EBD">
        <w:rPr>
          <w:rFonts w:eastAsia="SimSun" w:cs="Mangal"/>
          <w:kern w:val="1"/>
          <w:lang w:eastAsia="zh-CN" w:bidi="hi-IN"/>
        </w:rPr>
        <w:t>alusel</w:t>
      </w:r>
      <w:r w:rsidR="005645EF">
        <w:rPr>
          <w:rFonts w:eastAsia="SimSun" w:cs="Mangal"/>
          <w:kern w:val="1"/>
          <w:lang w:eastAsia="zh-CN" w:bidi="hi-IN"/>
        </w:rPr>
        <w:t xml:space="preserve"> kavandatud tegevuste elluviimine lõpetada olukorras, kus tegevuse elluviimise tähtaeg </w:t>
      </w:r>
      <w:r w:rsidR="00235CB4">
        <w:rPr>
          <w:rFonts w:eastAsia="SimSun" w:cs="Mangal"/>
          <w:kern w:val="1"/>
          <w:lang w:eastAsia="zh-CN" w:bidi="hi-IN"/>
        </w:rPr>
        <w:t xml:space="preserve">on saabunud või </w:t>
      </w:r>
      <w:r w:rsidR="00EF0F47" w:rsidRPr="00D62DE5">
        <w:rPr>
          <w:rFonts w:eastAsia="SimSun" w:cs="Mangal"/>
          <w:kern w:val="1"/>
          <w:lang w:eastAsia="zh-CN" w:bidi="hi-IN"/>
        </w:rPr>
        <w:t>lähiajal saabumas</w:t>
      </w:r>
      <w:r w:rsidR="00677C05" w:rsidRPr="00580A0B">
        <w:rPr>
          <w:rFonts w:eastAsia="SimSun" w:cs="Mangal"/>
          <w:kern w:val="1"/>
          <w:lang w:eastAsia="zh-CN" w:bidi="hi-IN"/>
        </w:rPr>
        <w:t>,</w:t>
      </w:r>
      <w:r w:rsidR="00677C05">
        <w:rPr>
          <w:rFonts w:eastAsia="SimSun" w:cs="Mangal"/>
          <w:kern w:val="1"/>
          <w:lang w:eastAsia="zh-CN" w:bidi="hi-IN"/>
        </w:rPr>
        <w:t xml:space="preserve"> kuid kavandatud tegevused ei ole täielikult lõpetatud</w:t>
      </w:r>
      <w:r w:rsidR="005645EF">
        <w:rPr>
          <w:rFonts w:eastAsia="SimSun" w:cs="Mangal"/>
          <w:kern w:val="1"/>
          <w:lang w:eastAsia="zh-CN" w:bidi="hi-IN"/>
        </w:rPr>
        <w:t>.</w:t>
      </w:r>
      <w:r w:rsidR="00677C05">
        <w:rPr>
          <w:rFonts w:eastAsia="SimSun" w:cs="Mangal"/>
          <w:kern w:val="1"/>
          <w:lang w:eastAsia="zh-CN" w:bidi="hi-IN"/>
        </w:rPr>
        <w:t xml:space="preserve"> </w:t>
      </w:r>
      <w:r w:rsidR="006C73BD" w:rsidRPr="00D91BA3">
        <w:rPr>
          <w:rFonts w:eastAsia="SimSun" w:cs="Mangal"/>
          <w:kern w:val="1"/>
          <w:lang w:eastAsia="zh-CN" w:bidi="hi-IN"/>
        </w:rPr>
        <w:t>Vajadus pikendada toetatavate tegevuste elluviimise tähtaeg</w:t>
      </w:r>
      <w:r w:rsidR="0032282D">
        <w:rPr>
          <w:rFonts w:eastAsia="SimSun" w:cs="Mangal"/>
          <w:kern w:val="1"/>
          <w:lang w:eastAsia="zh-CN" w:bidi="hi-IN"/>
        </w:rPr>
        <w:t>u</w:t>
      </w:r>
      <w:r w:rsidR="006C73BD" w:rsidRPr="00D91BA3">
        <w:rPr>
          <w:rFonts w:eastAsia="SimSun" w:cs="Mangal"/>
          <w:kern w:val="1"/>
          <w:lang w:eastAsia="zh-CN" w:bidi="hi-IN"/>
        </w:rPr>
        <w:t xml:space="preserve"> on tingitud peamiselt vajadusest luua toetuse saaja</w:t>
      </w:r>
      <w:r w:rsidR="0032282D">
        <w:rPr>
          <w:rFonts w:eastAsia="SimSun" w:cs="Mangal"/>
          <w:kern w:val="1"/>
          <w:lang w:eastAsia="zh-CN" w:bidi="hi-IN"/>
        </w:rPr>
        <w:t>te</w:t>
      </w:r>
      <w:r w:rsidR="006C73BD" w:rsidRPr="00D91BA3">
        <w:rPr>
          <w:rFonts w:eastAsia="SimSun" w:cs="Mangal"/>
          <w:kern w:val="1"/>
          <w:lang w:eastAsia="zh-CN" w:bidi="hi-IN"/>
        </w:rPr>
        <w:t>le soodsad võimalused toetatavate tegevuste elluviimiseks olukorras, kus kavandatud tegevuste elluviimine ettenähtud tähtaja jooksul on raskendatud seoses COVID-19 haigust põhjustava koroonaviiruse leviku tõkestamisega.</w:t>
      </w:r>
      <w:r w:rsidR="006C73BD">
        <w:rPr>
          <w:rFonts w:eastAsia="SimSun" w:cs="Mangal"/>
          <w:kern w:val="1"/>
          <w:lang w:eastAsia="zh-CN" w:bidi="hi-IN"/>
        </w:rPr>
        <w:t xml:space="preserve"> </w:t>
      </w:r>
      <w:r w:rsidR="009F091E" w:rsidRPr="008D272F">
        <w:rPr>
          <w:rFonts w:eastAsia="SimSun" w:cs="Mangal"/>
          <w:kern w:val="1"/>
          <w:lang w:eastAsia="zh-CN" w:bidi="hi-IN"/>
        </w:rPr>
        <w:t xml:space="preserve">Tähtaja pikendamise eesmärk on võimaldada toetuse saajatel </w:t>
      </w:r>
      <w:r w:rsidR="009F091E">
        <w:rPr>
          <w:rFonts w:eastAsia="SimSun" w:cs="Mangal"/>
          <w:kern w:val="1"/>
          <w:lang w:eastAsia="zh-CN" w:bidi="hi-IN"/>
        </w:rPr>
        <w:t xml:space="preserve">kavandatud </w:t>
      </w:r>
      <w:r w:rsidR="009F091E" w:rsidRPr="008D272F">
        <w:rPr>
          <w:rFonts w:eastAsia="SimSun" w:cs="Mangal"/>
          <w:kern w:val="1"/>
          <w:lang w:eastAsia="zh-CN" w:bidi="hi-IN"/>
        </w:rPr>
        <w:t>tegevuse</w:t>
      </w:r>
      <w:r w:rsidR="009F091E" w:rsidRPr="00F51BFE">
        <w:rPr>
          <w:rFonts w:eastAsia="SimSun" w:cs="Mangal"/>
          <w:kern w:val="1"/>
          <w:lang w:eastAsia="zh-CN" w:bidi="hi-IN"/>
        </w:rPr>
        <w:t>d</w:t>
      </w:r>
      <w:r w:rsidR="009F091E" w:rsidRPr="008D272F">
        <w:rPr>
          <w:rFonts w:eastAsia="SimSun" w:cs="Mangal"/>
          <w:kern w:val="1"/>
          <w:lang w:eastAsia="zh-CN" w:bidi="hi-IN"/>
        </w:rPr>
        <w:t xml:space="preserve"> </w:t>
      </w:r>
      <w:r w:rsidR="009F091E" w:rsidRPr="00F51BFE">
        <w:rPr>
          <w:rFonts w:eastAsia="SimSun" w:cs="Mangal"/>
          <w:kern w:val="1"/>
          <w:lang w:eastAsia="zh-CN" w:bidi="hi-IN"/>
        </w:rPr>
        <w:t>ellu viia</w:t>
      </w:r>
      <w:r w:rsidR="009F091E" w:rsidRPr="008D272F">
        <w:rPr>
          <w:rFonts w:eastAsia="SimSun" w:cs="Mangal"/>
          <w:kern w:val="1"/>
          <w:lang w:eastAsia="zh-CN" w:bidi="hi-IN"/>
        </w:rPr>
        <w:t xml:space="preserve"> ja </w:t>
      </w:r>
      <w:r w:rsidR="00663ABD">
        <w:rPr>
          <w:rFonts w:eastAsia="SimSun" w:cs="Mangal"/>
          <w:kern w:val="1"/>
          <w:lang w:eastAsia="zh-CN" w:bidi="hi-IN"/>
        </w:rPr>
        <w:t xml:space="preserve">seeläbi saavutada nende eesmärgid </w:t>
      </w:r>
      <w:r w:rsidR="0092236D">
        <w:rPr>
          <w:rFonts w:eastAsia="SimSun" w:cs="Mangal"/>
          <w:kern w:val="1"/>
          <w:lang w:eastAsia="zh-CN" w:bidi="hi-IN"/>
        </w:rPr>
        <w:t xml:space="preserve">ning </w:t>
      </w:r>
      <w:r w:rsidR="009453E5">
        <w:rPr>
          <w:rFonts w:eastAsia="SimSun" w:cs="Mangal"/>
          <w:kern w:val="1"/>
          <w:lang w:eastAsia="zh-CN" w:bidi="hi-IN"/>
        </w:rPr>
        <w:t xml:space="preserve">tagada sellega </w:t>
      </w:r>
      <w:r w:rsidR="00F70E26">
        <w:rPr>
          <w:rFonts w:eastAsia="SimSun" w:cs="Mangal"/>
          <w:kern w:val="1"/>
          <w:lang w:eastAsia="zh-CN" w:bidi="hi-IN"/>
        </w:rPr>
        <w:t xml:space="preserve">toetusraha </w:t>
      </w:r>
      <w:r w:rsidR="0092236D">
        <w:rPr>
          <w:rFonts w:eastAsia="SimSun" w:cs="Mangal"/>
          <w:kern w:val="1"/>
          <w:lang w:eastAsia="zh-CN" w:bidi="hi-IN"/>
        </w:rPr>
        <w:t>parem ja täielikum ärakasutami</w:t>
      </w:r>
      <w:r w:rsidR="00B5194F">
        <w:rPr>
          <w:rFonts w:eastAsia="SimSun" w:cs="Mangal"/>
          <w:kern w:val="1"/>
          <w:lang w:eastAsia="zh-CN" w:bidi="hi-IN"/>
        </w:rPr>
        <w:t>n</w:t>
      </w:r>
      <w:r w:rsidR="0092236D">
        <w:rPr>
          <w:rFonts w:eastAsia="SimSun" w:cs="Mangal"/>
          <w:kern w:val="1"/>
          <w:lang w:eastAsia="zh-CN" w:bidi="hi-IN"/>
        </w:rPr>
        <w:t>e</w:t>
      </w:r>
      <w:r w:rsidR="009F091E" w:rsidRPr="008D272F">
        <w:rPr>
          <w:rFonts w:eastAsia="SimSun" w:cs="Mangal"/>
          <w:kern w:val="1"/>
          <w:lang w:eastAsia="zh-CN" w:bidi="hi-IN"/>
        </w:rPr>
        <w:t>.</w:t>
      </w:r>
    </w:p>
    <w:p w14:paraId="02D2D8CD" w14:textId="6896B5A4" w:rsidR="00437AFE" w:rsidRDefault="00437AFE" w:rsidP="009F091E">
      <w:pPr>
        <w:autoSpaceDE/>
        <w:autoSpaceDN/>
        <w:jc w:val="both"/>
        <w:rPr>
          <w:rFonts w:eastAsia="SimSun" w:cs="Mangal"/>
          <w:kern w:val="1"/>
          <w:lang w:eastAsia="zh-CN" w:bidi="hi-IN"/>
        </w:rPr>
      </w:pPr>
    </w:p>
    <w:p w14:paraId="78C34E09" w14:textId="07205B0C" w:rsidR="00437AFE" w:rsidRDefault="00437AFE" w:rsidP="009F091E">
      <w:pPr>
        <w:autoSpaceDE/>
        <w:autoSpaceDN/>
        <w:jc w:val="both"/>
        <w:rPr>
          <w:rFonts w:eastAsia="SimSun" w:cs="Mangal"/>
          <w:kern w:val="1"/>
          <w:lang w:eastAsia="zh-CN" w:bidi="hi-IN"/>
        </w:rPr>
      </w:pPr>
      <w:r w:rsidRPr="00E47FDD">
        <w:rPr>
          <w:rFonts w:eastAsia="SimSun" w:cs="Mangal"/>
          <w:b/>
          <w:kern w:val="1"/>
          <w:lang w:eastAsia="zh-CN" w:bidi="hi-IN"/>
        </w:rPr>
        <w:t>Eelnõu §-ga 1</w:t>
      </w:r>
      <w:r>
        <w:rPr>
          <w:rFonts w:eastAsia="SimSun" w:cs="Mangal"/>
          <w:kern w:val="1"/>
          <w:lang w:eastAsia="zh-CN" w:bidi="hi-IN"/>
        </w:rPr>
        <w:t xml:space="preserve"> muudetakse määrust nr 5 ja </w:t>
      </w:r>
      <w:r w:rsidRPr="00E47FDD">
        <w:rPr>
          <w:rFonts w:eastAsia="SimSun" w:cs="Mangal"/>
          <w:b/>
          <w:kern w:val="1"/>
          <w:lang w:eastAsia="zh-CN" w:bidi="hi-IN"/>
        </w:rPr>
        <w:t xml:space="preserve">eelnõu §-ga </w:t>
      </w:r>
      <w:r w:rsidR="00D220B4" w:rsidRPr="00D220B4">
        <w:rPr>
          <w:rFonts w:eastAsia="SimSun" w:cs="Mangal"/>
          <w:b/>
          <w:kern w:val="1"/>
          <w:lang w:eastAsia="zh-CN" w:bidi="hi-IN"/>
        </w:rPr>
        <w:t>3</w:t>
      </w:r>
      <w:r>
        <w:rPr>
          <w:rFonts w:eastAsia="SimSun" w:cs="Mangal"/>
          <w:kern w:val="1"/>
          <w:lang w:eastAsia="zh-CN" w:bidi="hi-IN"/>
        </w:rPr>
        <w:t xml:space="preserve"> määrust nr 6</w:t>
      </w:r>
      <w:r w:rsidRPr="00437AFE">
        <w:rPr>
          <w:rFonts w:eastAsia="SimSun" w:cs="Mangal"/>
          <w:kern w:val="1"/>
          <w:lang w:eastAsia="zh-CN" w:bidi="hi-IN"/>
        </w:rPr>
        <w:t>.</w:t>
      </w:r>
    </w:p>
    <w:p w14:paraId="044E02FF" w14:textId="00323634" w:rsidR="00EA2286" w:rsidRDefault="00EA2286" w:rsidP="009F091E">
      <w:pPr>
        <w:autoSpaceDE/>
        <w:autoSpaceDN/>
        <w:jc w:val="both"/>
        <w:rPr>
          <w:rFonts w:eastAsia="SimSun" w:cs="Mangal"/>
          <w:kern w:val="1"/>
          <w:lang w:eastAsia="zh-CN" w:bidi="hi-IN"/>
        </w:rPr>
      </w:pPr>
    </w:p>
    <w:p w14:paraId="0AD98E4A" w14:textId="0050849A" w:rsidR="00F05E44" w:rsidRDefault="001F6144" w:rsidP="00F05E44">
      <w:pPr>
        <w:jc w:val="both"/>
        <w:rPr>
          <w:rFonts w:eastAsia="SimSun" w:cs="Mangal"/>
          <w:kern w:val="1"/>
          <w:lang w:eastAsia="zh-CN" w:bidi="hi-IN"/>
        </w:rPr>
      </w:pPr>
      <w:r w:rsidRPr="001F6144">
        <w:rPr>
          <w:rFonts w:eastAsia="SimSun" w:cs="Mangal"/>
          <w:b/>
          <w:kern w:val="1"/>
          <w:lang w:eastAsia="zh-CN" w:bidi="hi-IN"/>
        </w:rPr>
        <w:t xml:space="preserve">Eelnõu §-des 1 ja 3 </w:t>
      </w:r>
      <w:r w:rsidRPr="001F6144">
        <w:rPr>
          <w:rFonts w:eastAsia="SimSun" w:cs="Mangal"/>
          <w:kern w:val="1"/>
          <w:lang w:eastAsia="zh-CN" w:bidi="hi-IN"/>
        </w:rPr>
        <w:t xml:space="preserve">tehakse muudatus, millega pikendatakse </w:t>
      </w:r>
      <w:r w:rsidR="00520E76">
        <w:rPr>
          <w:rFonts w:eastAsia="SimSun" w:cs="Mangal"/>
          <w:kern w:val="1"/>
          <w:lang w:eastAsia="zh-CN" w:bidi="hi-IN"/>
        </w:rPr>
        <w:t xml:space="preserve">toetatavate </w:t>
      </w:r>
      <w:r w:rsidRPr="001F6144">
        <w:rPr>
          <w:rFonts w:eastAsia="SimSun" w:cs="Mangal"/>
          <w:kern w:val="1"/>
          <w:lang w:eastAsia="zh-CN" w:bidi="hi-IN"/>
        </w:rPr>
        <w:t>tegevus</w:t>
      </w:r>
      <w:r w:rsidR="00520E76">
        <w:rPr>
          <w:rFonts w:eastAsia="SimSun" w:cs="Mangal"/>
          <w:kern w:val="1"/>
          <w:lang w:eastAsia="zh-CN" w:bidi="hi-IN"/>
        </w:rPr>
        <w:t>t</w:t>
      </w:r>
      <w:r w:rsidRPr="001F6144">
        <w:rPr>
          <w:rFonts w:eastAsia="SimSun" w:cs="Mangal"/>
          <w:kern w:val="1"/>
          <w:lang w:eastAsia="zh-CN" w:bidi="hi-IN"/>
        </w:rPr>
        <w:t>e elluviimise</w:t>
      </w:r>
      <w:r>
        <w:rPr>
          <w:rFonts w:eastAsia="SimSun" w:cs="Mangal"/>
          <w:kern w:val="1"/>
          <w:lang w:eastAsia="zh-CN" w:bidi="hi-IN"/>
        </w:rPr>
        <w:t xml:space="preserve"> tähtaega nendel toetuse saajatel, kes </w:t>
      </w:r>
      <w:r w:rsidR="00F05E44">
        <w:rPr>
          <w:rFonts w:eastAsia="SimSun" w:cs="Mangal"/>
          <w:kern w:val="1"/>
          <w:lang w:eastAsia="zh-CN" w:bidi="hi-IN"/>
        </w:rPr>
        <w:t>esitasid</w:t>
      </w:r>
      <w:r>
        <w:rPr>
          <w:rFonts w:eastAsia="SimSun" w:cs="Mangal"/>
          <w:kern w:val="1"/>
          <w:lang w:eastAsia="zh-CN" w:bidi="hi-IN"/>
        </w:rPr>
        <w:t xml:space="preserve"> taotlus</w:t>
      </w:r>
      <w:r w:rsidR="00F05E44">
        <w:rPr>
          <w:rFonts w:eastAsia="SimSun" w:cs="Mangal"/>
          <w:kern w:val="1"/>
          <w:lang w:eastAsia="zh-CN" w:bidi="hi-IN"/>
        </w:rPr>
        <w:t>e</w:t>
      </w:r>
      <w:r>
        <w:rPr>
          <w:rFonts w:eastAsia="SimSun" w:cs="Mangal"/>
          <w:kern w:val="1"/>
          <w:lang w:eastAsia="zh-CN" w:bidi="hi-IN"/>
        </w:rPr>
        <w:t xml:space="preserve"> 2018. aasta taotlusvoorus</w:t>
      </w:r>
      <w:r w:rsidR="00A84B7C">
        <w:rPr>
          <w:rFonts w:eastAsia="SimSun" w:cs="Mangal"/>
          <w:kern w:val="1"/>
          <w:lang w:eastAsia="zh-CN" w:bidi="hi-IN"/>
        </w:rPr>
        <w:t xml:space="preserve"> </w:t>
      </w:r>
      <w:r w:rsidR="00A84B7C" w:rsidRPr="00A84B7C">
        <w:rPr>
          <w:rFonts w:eastAsia="SimSun" w:cs="Mangal"/>
          <w:kern w:val="1"/>
          <w:lang w:eastAsia="zh-CN" w:bidi="hi-IN"/>
        </w:rPr>
        <w:t xml:space="preserve">ning kelle taotlused on Põllumajanduse Registrite ja Informatsiooni Amet </w:t>
      </w:r>
      <w:r w:rsidR="00A84B7C">
        <w:rPr>
          <w:rFonts w:eastAsia="SimSun" w:cs="Mangal"/>
          <w:kern w:val="1"/>
          <w:lang w:eastAsia="zh-CN" w:bidi="hi-IN"/>
        </w:rPr>
        <w:t xml:space="preserve">(edaspidi </w:t>
      </w:r>
      <w:r w:rsidR="00A84B7C" w:rsidRPr="00A84B7C">
        <w:rPr>
          <w:rFonts w:eastAsia="SimSun" w:cs="Mangal"/>
          <w:i/>
          <w:kern w:val="1"/>
          <w:lang w:eastAsia="zh-CN" w:bidi="hi-IN"/>
        </w:rPr>
        <w:t>PRIA</w:t>
      </w:r>
      <w:r w:rsidR="00A84B7C">
        <w:rPr>
          <w:rFonts w:eastAsia="SimSun" w:cs="Mangal"/>
          <w:kern w:val="1"/>
          <w:lang w:eastAsia="zh-CN" w:bidi="hi-IN"/>
        </w:rPr>
        <w:t>)</w:t>
      </w:r>
      <w:r w:rsidR="00A84B7C" w:rsidRPr="00A84B7C">
        <w:rPr>
          <w:rFonts w:eastAsia="SimSun" w:cs="Mangal"/>
          <w:kern w:val="1"/>
          <w:lang w:eastAsia="zh-CN" w:bidi="hi-IN"/>
        </w:rPr>
        <w:t xml:space="preserve"> rahulda</w:t>
      </w:r>
      <w:r w:rsidR="00DF107A">
        <w:rPr>
          <w:rFonts w:eastAsia="SimSun" w:cs="Mangal"/>
          <w:kern w:val="1"/>
          <w:lang w:eastAsia="zh-CN" w:bidi="hi-IN"/>
        </w:rPr>
        <w:t>n</w:t>
      </w:r>
      <w:r w:rsidR="00A84B7C" w:rsidRPr="00A84B7C">
        <w:rPr>
          <w:rFonts w:eastAsia="SimSun" w:cs="Mangal"/>
          <w:kern w:val="1"/>
          <w:lang w:eastAsia="zh-CN" w:bidi="hi-IN"/>
        </w:rPr>
        <w:t>ud, ühe aasta võrra.</w:t>
      </w:r>
      <w:r w:rsidR="00F05E44">
        <w:rPr>
          <w:rFonts w:eastAsia="SimSun" w:cs="Mangal"/>
          <w:kern w:val="1"/>
          <w:lang w:eastAsia="zh-CN" w:bidi="hi-IN"/>
        </w:rPr>
        <w:t xml:space="preserve"> </w:t>
      </w:r>
      <w:r w:rsidR="00F05E44" w:rsidRPr="00F05E44">
        <w:rPr>
          <w:rFonts w:eastAsia="SimSun" w:cs="Mangal"/>
          <w:kern w:val="1"/>
          <w:lang w:eastAsia="zh-CN" w:bidi="hi-IN"/>
        </w:rPr>
        <w:t xml:space="preserve">See tähendab, et nimetatud toetuse saajad võivad viia toetatava tegevuse ellu, esitada investeeringu tegemist tõendavad dokumendid ja võtta investeeringuobjekti sihtotstarbeliselt kasutusse </w:t>
      </w:r>
      <w:r w:rsidR="009C6B2E">
        <w:rPr>
          <w:rFonts w:eastAsia="SimSun" w:cs="Mangal"/>
          <w:kern w:val="1"/>
          <w:lang w:eastAsia="zh-CN" w:bidi="hi-IN"/>
        </w:rPr>
        <w:t xml:space="preserve">senise kahe aasta asemel </w:t>
      </w:r>
      <w:r w:rsidR="00F05E44" w:rsidRPr="00F05E44">
        <w:rPr>
          <w:rFonts w:eastAsia="SimSun" w:cs="Mangal"/>
          <w:kern w:val="1"/>
          <w:lang w:eastAsia="zh-CN" w:bidi="hi-IN"/>
        </w:rPr>
        <w:t>kolme aasta jooksul arvates PRIA poolt taotluse rahuldamise otsuse tegemisest. Seega peavad nimetatud toetuse saajad viima toetat</w:t>
      </w:r>
      <w:r w:rsidR="00F05E44">
        <w:rPr>
          <w:rFonts w:eastAsia="SimSun" w:cs="Mangal"/>
          <w:kern w:val="1"/>
          <w:lang w:eastAsia="zh-CN" w:bidi="hi-IN"/>
        </w:rPr>
        <w:t>ava tegevuse ellu hiljemalt 2022. aasta märtsi</w:t>
      </w:r>
      <w:r w:rsidR="009C6B2E">
        <w:rPr>
          <w:rFonts w:eastAsia="SimSun" w:cs="Mangal"/>
          <w:kern w:val="1"/>
          <w:lang w:eastAsia="zh-CN" w:bidi="hi-IN"/>
        </w:rPr>
        <w:t>k</w:t>
      </w:r>
      <w:r w:rsidR="00F05E44">
        <w:rPr>
          <w:rFonts w:eastAsia="SimSun" w:cs="Mangal"/>
          <w:kern w:val="1"/>
          <w:lang w:eastAsia="zh-CN" w:bidi="hi-IN"/>
        </w:rPr>
        <w:t>s</w:t>
      </w:r>
      <w:r w:rsidR="00F05E44" w:rsidRPr="00F05E44">
        <w:rPr>
          <w:rFonts w:eastAsia="SimSun" w:cs="Mangal"/>
          <w:kern w:val="1"/>
          <w:lang w:eastAsia="zh-CN" w:bidi="hi-IN"/>
        </w:rPr>
        <w:t>.</w:t>
      </w:r>
    </w:p>
    <w:p w14:paraId="2BFBC730" w14:textId="1752F7D5" w:rsidR="006509E0" w:rsidRDefault="006509E0" w:rsidP="00F05E44">
      <w:pPr>
        <w:jc w:val="both"/>
        <w:rPr>
          <w:rFonts w:eastAsia="SimSun" w:cs="Mangal"/>
          <w:kern w:val="1"/>
          <w:lang w:eastAsia="zh-CN" w:bidi="hi-IN"/>
        </w:rPr>
      </w:pPr>
    </w:p>
    <w:p w14:paraId="64FA6D69" w14:textId="3F51B90C" w:rsidR="006509E0" w:rsidRPr="00084811" w:rsidRDefault="006509E0" w:rsidP="00774BB8">
      <w:pPr>
        <w:jc w:val="both"/>
        <w:rPr>
          <w:rFonts w:eastAsia="SimSun" w:cs="Mangal"/>
          <w:kern w:val="1"/>
          <w:lang w:eastAsia="zh-CN" w:bidi="hi-IN"/>
        </w:rPr>
      </w:pPr>
      <w:r w:rsidRPr="00FB176C">
        <w:rPr>
          <w:rFonts w:eastAsia="SimSun" w:cs="Mangal"/>
          <w:kern w:val="1"/>
          <w:lang w:eastAsia="zh-CN" w:bidi="hi-IN"/>
        </w:rPr>
        <w:t xml:space="preserve">Kui investeeringuobjekt </w:t>
      </w:r>
      <w:r w:rsidRPr="00CC6088">
        <w:rPr>
          <w:rFonts w:eastAsia="SimSun" w:cs="Mangal"/>
          <w:kern w:val="1"/>
          <w:lang w:eastAsia="zh-CN" w:bidi="hi-IN"/>
        </w:rPr>
        <w:t>ostetakse</w:t>
      </w:r>
      <w:r w:rsidRPr="00084811">
        <w:rPr>
          <w:rFonts w:eastAsia="SimSun" w:cs="Mangal"/>
          <w:kern w:val="1"/>
          <w:lang w:eastAsia="zh-CN" w:bidi="hi-IN"/>
        </w:rPr>
        <w:t xml:space="preserve"> liisingulepingu alusel, siis </w:t>
      </w:r>
      <w:r w:rsidR="00C50BB5" w:rsidRPr="00084811">
        <w:rPr>
          <w:rFonts w:eastAsia="SimSun" w:cs="Mangal"/>
          <w:kern w:val="1"/>
          <w:lang w:eastAsia="zh-CN" w:bidi="hi-IN"/>
        </w:rPr>
        <w:t xml:space="preserve">võib </w:t>
      </w:r>
      <w:r w:rsidRPr="00084811">
        <w:rPr>
          <w:rFonts w:eastAsia="SimSun" w:cs="Mangal"/>
          <w:kern w:val="1"/>
          <w:lang w:eastAsia="zh-CN" w:bidi="hi-IN"/>
        </w:rPr>
        <w:t xml:space="preserve">investeeringuobjekti sihtotstarbeliselt kasutusse võtta </w:t>
      </w:r>
      <w:r w:rsidR="00314EB5">
        <w:rPr>
          <w:rFonts w:eastAsia="SimSun" w:cs="Mangal"/>
          <w:kern w:val="1"/>
          <w:lang w:eastAsia="zh-CN" w:bidi="hi-IN"/>
        </w:rPr>
        <w:t xml:space="preserve">senise kahe aasta asemel </w:t>
      </w:r>
      <w:r w:rsidRPr="00084811">
        <w:rPr>
          <w:rFonts w:eastAsia="SimSun" w:cs="Mangal"/>
          <w:kern w:val="1"/>
          <w:lang w:eastAsia="zh-CN" w:bidi="hi-IN"/>
        </w:rPr>
        <w:t xml:space="preserve">kolme aasta jooksul arvates PRIA poolt taotluse rahuldamise otsuse tegemisest. </w:t>
      </w:r>
      <w:r w:rsidR="00314EB5">
        <w:rPr>
          <w:rFonts w:eastAsia="SimSun" w:cs="Mangal"/>
          <w:kern w:val="1"/>
          <w:lang w:eastAsia="zh-CN" w:bidi="hi-IN"/>
        </w:rPr>
        <w:t xml:space="preserve">Samas peab endiselt </w:t>
      </w:r>
      <w:r w:rsidR="000460E0" w:rsidRPr="00084811">
        <w:rPr>
          <w:rFonts w:eastAsia="SimSun" w:cs="Mangal"/>
          <w:kern w:val="1"/>
          <w:lang w:eastAsia="zh-CN" w:bidi="hi-IN"/>
        </w:rPr>
        <w:t xml:space="preserve">liisingulepingu alusel </w:t>
      </w:r>
      <w:r w:rsidR="000460E0">
        <w:rPr>
          <w:rFonts w:eastAsia="SimSun" w:cs="Mangal"/>
          <w:kern w:val="1"/>
          <w:lang w:eastAsia="zh-CN" w:bidi="hi-IN"/>
        </w:rPr>
        <w:t xml:space="preserve">ostetud </w:t>
      </w:r>
      <w:r w:rsidR="00314EB5">
        <w:rPr>
          <w:rFonts w:eastAsia="SimSun" w:cs="Mangal"/>
          <w:kern w:val="1"/>
          <w:lang w:eastAsia="zh-CN" w:bidi="hi-IN"/>
        </w:rPr>
        <w:t>i</w:t>
      </w:r>
      <w:r w:rsidRPr="00084811">
        <w:rPr>
          <w:rFonts w:eastAsia="SimSun" w:cs="Mangal"/>
          <w:kern w:val="1"/>
          <w:lang w:eastAsia="zh-CN" w:bidi="hi-IN"/>
        </w:rPr>
        <w:t xml:space="preserve">nvesteeringuobjekti </w:t>
      </w:r>
      <w:r w:rsidR="000460E0">
        <w:rPr>
          <w:rFonts w:eastAsia="SimSun" w:cs="Mangal"/>
          <w:kern w:val="1"/>
          <w:lang w:eastAsia="zh-CN" w:bidi="hi-IN"/>
        </w:rPr>
        <w:t>puhu</w:t>
      </w:r>
      <w:r w:rsidRPr="00084811">
        <w:rPr>
          <w:rFonts w:eastAsia="SimSun" w:cs="Mangal"/>
          <w:kern w:val="1"/>
          <w:lang w:eastAsia="zh-CN" w:bidi="hi-IN"/>
        </w:rPr>
        <w:t xml:space="preserve">l </w:t>
      </w:r>
      <w:r w:rsidR="00314EB5">
        <w:rPr>
          <w:rFonts w:eastAsia="SimSun" w:cs="Mangal"/>
          <w:kern w:val="1"/>
          <w:lang w:eastAsia="zh-CN" w:bidi="hi-IN"/>
        </w:rPr>
        <w:t xml:space="preserve">viima </w:t>
      </w:r>
      <w:r w:rsidRPr="00084811">
        <w:rPr>
          <w:rFonts w:eastAsia="SimSun" w:cs="Mangal"/>
          <w:kern w:val="1"/>
          <w:lang w:eastAsia="zh-CN" w:bidi="hi-IN"/>
        </w:rPr>
        <w:t xml:space="preserve">tegevuse ellu ja </w:t>
      </w:r>
      <w:r w:rsidR="00314EB5">
        <w:rPr>
          <w:rFonts w:eastAsia="SimSun" w:cs="Mangal"/>
          <w:kern w:val="1"/>
          <w:lang w:eastAsia="zh-CN" w:bidi="hi-IN"/>
        </w:rPr>
        <w:t xml:space="preserve">esitama investeeringu tegemist tõendavad </w:t>
      </w:r>
      <w:r w:rsidRPr="00084811">
        <w:rPr>
          <w:rFonts w:eastAsia="SimSun" w:cs="Mangal"/>
          <w:kern w:val="1"/>
          <w:lang w:eastAsia="zh-CN" w:bidi="hi-IN"/>
        </w:rPr>
        <w:t>dokumen</w:t>
      </w:r>
      <w:r w:rsidR="00314EB5">
        <w:rPr>
          <w:rFonts w:eastAsia="SimSun" w:cs="Mangal"/>
          <w:kern w:val="1"/>
          <w:lang w:eastAsia="zh-CN" w:bidi="hi-IN"/>
        </w:rPr>
        <w:t>d</w:t>
      </w:r>
      <w:r w:rsidRPr="00084811">
        <w:rPr>
          <w:rFonts w:eastAsia="SimSun" w:cs="Mangal"/>
          <w:kern w:val="1"/>
          <w:lang w:eastAsia="zh-CN" w:bidi="hi-IN"/>
        </w:rPr>
        <w:t xml:space="preserve">id </w:t>
      </w:r>
      <w:r w:rsidR="00F215DC" w:rsidRPr="00084811">
        <w:rPr>
          <w:rFonts w:eastAsia="SimSun" w:cs="Mangal"/>
          <w:kern w:val="1"/>
          <w:lang w:eastAsia="zh-CN" w:bidi="hi-IN"/>
        </w:rPr>
        <w:t>vii</w:t>
      </w:r>
      <w:r w:rsidR="00314EB5">
        <w:rPr>
          <w:rFonts w:eastAsia="SimSun" w:cs="Mangal"/>
          <w:kern w:val="1"/>
          <w:lang w:eastAsia="zh-CN" w:bidi="hi-IN"/>
        </w:rPr>
        <w:t>e</w:t>
      </w:r>
      <w:r w:rsidR="00F215DC" w:rsidRPr="00084811">
        <w:rPr>
          <w:rFonts w:eastAsia="SimSun" w:cs="Mangal"/>
          <w:kern w:val="1"/>
          <w:lang w:eastAsia="zh-CN" w:bidi="hi-IN"/>
        </w:rPr>
        <w:t xml:space="preserve"> aasta</w:t>
      </w:r>
      <w:r w:rsidR="00314EB5">
        <w:rPr>
          <w:rFonts w:eastAsia="SimSun" w:cs="Mangal"/>
          <w:kern w:val="1"/>
          <w:lang w:eastAsia="zh-CN" w:bidi="hi-IN"/>
        </w:rPr>
        <w:t xml:space="preserve"> jooksul </w:t>
      </w:r>
      <w:r w:rsidR="00314EB5" w:rsidRPr="00314EB5">
        <w:rPr>
          <w:rFonts w:eastAsia="SimSun" w:cs="Mangal"/>
          <w:kern w:val="1"/>
          <w:lang w:eastAsia="zh-CN" w:bidi="hi-IN"/>
        </w:rPr>
        <w:t>arvates PRIA poolt taotluse rahuldamise otsuse tegemisest</w:t>
      </w:r>
      <w:r w:rsidR="00F215DC" w:rsidRPr="00084811">
        <w:rPr>
          <w:rFonts w:eastAsia="SimSun" w:cs="Mangal"/>
          <w:kern w:val="1"/>
          <w:lang w:eastAsia="zh-CN" w:bidi="hi-IN"/>
        </w:rPr>
        <w:t xml:space="preserve">, </w:t>
      </w:r>
      <w:r w:rsidR="00314EB5">
        <w:rPr>
          <w:rFonts w:eastAsia="SimSun" w:cs="Mangal"/>
          <w:kern w:val="1"/>
          <w:lang w:eastAsia="zh-CN" w:bidi="hi-IN"/>
        </w:rPr>
        <w:t xml:space="preserve">mis tähendab, et </w:t>
      </w:r>
      <w:r w:rsidR="00C942EC">
        <w:rPr>
          <w:rFonts w:eastAsia="SimSun" w:cs="Mangal"/>
          <w:kern w:val="1"/>
          <w:lang w:eastAsia="zh-CN" w:bidi="hi-IN"/>
        </w:rPr>
        <w:t xml:space="preserve">liisingu puhul </w:t>
      </w:r>
      <w:r w:rsidR="00314EB5">
        <w:rPr>
          <w:rFonts w:eastAsia="SimSun" w:cs="Mangal"/>
          <w:kern w:val="1"/>
          <w:lang w:eastAsia="zh-CN" w:bidi="hi-IN"/>
        </w:rPr>
        <w:t xml:space="preserve">toetatavate tegevuste elluviimise tähtaega ei muudeta. Küll aga </w:t>
      </w:r>
      <w:r w:rsidR="00F215DC" w:rsidRPr="00084811">
        <w:rPr>
          <w:rFonts w:eastAsia="SimSun" w:cs="Mangal"/>
          <w:kern w:val="1"/>
          <w:lang w:eastAsia="zh-CN" w:bidi="hi-IN"/>
        </w:rPr>
        <w:t xml:space="preserve">pikeneb liisingumaksete abikõlblikkuse ja investeeringu </w:t>
      </w:r>
      <w:r w:rsidR="001D6EE6">
        <w:rPr>
          <w:rFonts w:eastAsia="SimSun" w:cs="Mangal"/>
          <w:kern w:val="1"/>
          <w:lang w:eastAsia="zh-CN" w:bidi="hi-IN"/>
        </w:rPr>
        <w:t>tege</w:t>
      </w:r>
      <w:r w:rsidR="00F215DC" w:rsidRPr="00084811">
        <w:rPr>
          <w:rFonts w:eastAsia="SimSun" w:cs="Mangal"/>
          <w:kern w:val="1"/>
          <w:lang w:eastAsia="zh-CN" w:bidi="hi-IN"/>
        </w:rPr>
        <w:t xml:space="preserve">mist tõendavate dokumentide esitamise </w:t>
      </w:r>
      <w:r w:rsidR="00AE41EB" w:rsidRPr="00FB176C">
        <w:rPr>
          <w:rFonts w:eastAsia="SimSun" w:cs="Mangal"/>
          <w:kern w:val="1"/>
          <w:lang w:eastAsia="zh-CN" w:bidi="hi-IN"/>
        </w:rPr>
        <w:t>lõpp</w:t>
      </w:r>
      <w:r w:rsidR="00F215DC" w:rsidRPr="00FB176C">
        <w:rPr>
          <w:rFonts w:eastAsia="SimSun" w:cs="Mangal"/>
          <w:kern w:val="1"/>
          <w:lang w:eastAsia="zh-CN" w:bidi="hi-IN"/>
        </w:rPr>
        <w:t>tähtaeg</w:t>
      </w:r>
      <w:r w:rsidR="00637754" w:rsidRPr="00637754">
        <w:t xml:space="preserve"> </w:t>
      </w:r>
      <w:r w:rsidR="00637754">
        <w:rPr>
          <w:rFonts w:eastAsia="SimSun" w:cs="Mangal"/>
          <w:kern w:val="1"/>
          <w:lang w:eastAsia="zh-CN" w:bidi="hi-IN"/>
        </w:rPr>
        <w:t>2023. aasta 30. juuni</w:t>
      </w:r>
      <w:r w:rsidR="00774BB8">
        <w:rPr>
          <w:rFonts w:eastAsia="SimSun" w:cs="Mangal"/>
          <w:kern w:val="1"/>
          <w:lang w:eastAsia="zh-CN" w:bidi="hi-IN"/>
        </w:rPr>
        <w:t>lt 2025.</w:t>
      </w:r>
      <w:r w:rsidR="00AE41EB">
        <w:rPr>
          <w:rFonts w:eastAsia="SimSun" w:cs="Mangal"/>
          <w:kern w:val="1"/>
          <w:lang w:eastAsia="zh-CN" w:bidi="hi-IN"/>
        </w:rPr>
        <w:t> </w:t>
      </w:r>
      <w:r w:rsidR="00774BB8">
        <w:rPr>
          <w:rFonts w:eastAsia="SimSun" w:cs="Mangal"/>
          <w:kern w:val="1"/>
          <w:lang w:eastAsia="zh-CN" w:bidi="hi-IN"/>
        </w:rPr>
        <w:t>aasta 30</w:t>
      </w:r>
      <w:r w:rsidR="00637754">
        <w:rPr>
          <w:rFonts w:eastAsia="SimSun" w:cs="Mangal"/>
          <w:kern w:val="1"/>
          <w:lang w:eastAsia="zh-CN" w:bidi="hi-IN"/>
        </w:rPr>
        <w:t>.</w:t>
      </w:r>
      <w:r w:rsidR="00AE41EB">
        <w:rPr>
          <w:rFonts w:eastAsia="SimSun" w:cs="Mangal"/>
          <w:kern w:val="1"/>
          <w:lang w:eastAsia="zh-CN" w:bidi="hi-IN"/>
        </w:rPr>
        <w:t> </w:t>
      </w:r>
      <w:r w:rsidR="00637754">
        <w:rPr>
          <w:rFonts w:eastAsia="SimSun" w:cs="Mangal"/>
          <w:kern w:val="1"/>
          <w:lang w:eastAsia="zh-CN" w:bidi="hi-IN"/>
        </w:rPr>
        <w:t>juunini</w:t>
      </w:r>
      <w:r w:rsidR="00E020B9">
        <w:rPr>
          <w:rFonts w:eastAsia="SimSun" w:cs="Mangal"/>
          <w:kern w:val="1"/>
          <w:lang w:eastAsia="zh-CN" w:bidi="hi-IN"/>
        </w:rPr>
        <w:t xml:space="preserve"> tulenevalt</w:t>
      </w:r>
      <w:r w:rsidR="008B46EA">
        <w:rPr>
          <w:rFonts w:eastAsia="SimSun" w:cs="Mangal"/>
          <w:kern w:val="1"/>
          <w:lang w:eastAsia="zh-CN" w:bidi="hi-IN"/>
        </w:rPr>
        <w:t xml:space="preserve"> üleminekumäärusest</w:t>
      </w:r>
      <w:r w:rsidR="008B46EA">
        <w:rPr>
          <w:rStyle w:val="FootnoteReference"/>
          <w:rFonts w:eastAsia="SimSun" w:cs="Mangal"/>
          <w:kern w:val="1"/>
          <w:lang w:eastAsia="zh-CN" w:bidi="hi-IN"/>
        </w:rPr>
        <w:footnoteReference w:id="1"/>
      </w:r>
      <w:r w:rsidR="00DB0445">
        <w:rPr>
          <w:rFonts w:eastAsia="SimSun" w:cs="Mangal"/>
          <w:kern w:val="1"/>
          <w:lang w:eastAsia="zh-CN" w:bidi="hi-IN"/>
        </w:rPr>
        <w:t xml:space="preserve">. </w:t>
      </w:r>
      <w:r w:rsidR="0027176C">
        <w:rPr>
          <w:rFonts w:eastAsia="SimSun" w:cs="Mangal"/>
          <w:kern w:val="1"/>
          <w:lang w:eastAsia="zh-CN" w:bidi="hi-IN"/>
        </w:rPr>
        <w:t>See</w:t>
      </w:r>
      <w:r w:rsidR="00307BA7">
        <w:rPr>
          <w:rFonts w:eastAsia="SimSun" w:cs="Mangal"/>
          <w:kern w:val="1"/>
          <w:lang w:eastAsia="zh-CN" w:bidi="hi-IN"/>
        </w:rPr>
        <w:t xml:space="preserve"> tähendab</w:t>
      </w:r>
      <w:r w:rsidR="00C06977">
        <w:rPr>
          <w:rFonts w:eastAsia="SimSun" w:cs="Mangal"/>
          <w:kern w:val="1"/>
          <w:lang w:eastAsia="zh-CN" w:bidi="hi-IN"/>
        </w:rPr>
        <w:t xml:space="preserve"> </w:t>
      </w:r>
      <w:r w:rsidR="00DB0445">
        <w:rPr>
          <w:rFonts w:eastAsia="SimSun" w:cs="Mangal"/>
          <w:kern w:val="1"/>
          <w:lang w:eastAsia="zh-CN" w:bidi="hi-IN"/>
        </w:rPr>
        <w:t xml:space="preserve">liisingu puhul </w:t>
      </w:r>
      <w:r w:rsidR="001D6EE6" w:rsidRPr="001D6EE6">
        <w:rPr>
          <w:rFonts w:eastAsia="SimSun" w:cs="Mangal"/>
          <w:kern w:val="1"/>
          <w:lang w:eastAsia="zh-CN" w:bidi="hi-IN"/>
        </w:rPr>
        <w:t>nii</w:t>
      </w:r>
      <w:r w:rsidR="001D6EE6">
        <w:rPr>
          <w:rFonts w:eastAsia="SimSun" w:cs="Mangal"/>
          <w:kern w:val="1"/>
          <w:lang w:eastAsia="zh-CN" w:bidi="hi-IN"/>
        </w:rPr>
        <w:t xml:space="preserve"> </w:t>
      </w:r>
      <w:r w:rsidR="00774BB8">
        <w:rPr>
          <w:rFonts w:eastAsia="SimSun" w:cs="Mangal"/>
          <w:kern w:val="1"/>
          <w:lang w:eastAsia="zh-CN" w:bidi="hi-IN"/>
        </w:rPr>
        <w:t>abikõlblikkust tõendavate</w:t>
      </w:r>
      <w:r w:rsidR="0027176C">
        <w:rPr>
          <w:rFonts w:eastAsia="SimSun" w:cs="Mangal"/>
          <w:kern w:val="1"/>
          <w:lang w:eastAsia="zh-CN" w:bidi="hi-IN"/>
        </w:rPr>
        <w:t xml:space="preserve"> </w:t>
      </w:r>
      <w:r w:rsidR="0027176C">
        <w:rPr>
          <w:rFonts w:eastAsia="SimSun" w:cs="Mangal"/>
          <w:kern w:val="1"/>
          <w:lang w:eastAsia="zh-CN" w:bidi="hi-IN"/>
        </w:rPr>
        <w:lastRenderedPageBreak/>
        <w:t xml:space="preserve">kuludokumentide esitamise </w:t>
      </w:r>
      <w:r w:rsidR="001D6EE6">
        <w:rPr>
          <w:rFonts w:eastAsia="SimSun" w:cs="Mangal"/>
          <w:kern w:val="1"/>
          <w:lang w:eastAsia="zh-CN" w:bidi="hi-IN"/>
        </w:rPr>
        <w:t>kui ka</w:t>
      </w:r>
      <w:r w:rsidR="0027176C">
        <w:rPr>
          <w:rFonts w:eastAsia="SimSun" w:cs="Mangal"/>
          <w:kern w:val="1"/>
          <w:lang w:eastAsia="zh-CN" w:bidi="hi-IN"/>
        </w:rPr>
        <w:t xml:space="preserve"> omandiõigus</w:t>
      </w:r>
      <w:r w:rsidR="00774BB8">
        <w:rPr>
          <w:rFonts w:eastAsia="SimSun" w:cs="Mangal"/>
          <w:kern w:val="1"/>
          <w:lang w:eastAsia="zh-CN" w:bidi="hi-IN"/>
        </w:rPr>
        <w:t>e</w:t>
      </w:r>
      <w:r w:rsidR="0027176C">
        <w:rPr>
          <w:rFonts w:eastAsia="SimSun" w:cs="Mangal"/>
          <w:kern w:val="1"/>
          <w:lang w:eastAsia="zh-CN" w:bidi="hi-IN"/>
        </w:rPr>
        <w:t xml:space="preserve"> </w:t>
      </w:r>
      <w:r w:rsidR="00774BB8">
        <w:rPr>
          <w:rFonts w:eastAsia="SimSun" w:cs="Mangal"/>
          <w:kern w:val="1"/>
          <w:lang w:eastAsia="zh-CN" w:bidi="hi-IN"/>
        </w:rPr>
        <w:t>ülemineku</w:t>
      </w:r>
      <w:r w:rsidR="0027176C">
        <w:rPr>
          <w:rFonts w:eastAsia="SimSun" w:cs="Mangal"/>
          <w:kern w:val="1"/>
          <w:lang w:eastAsia="zh-CN" w:bidi="hi-IN"/>
        </w:rPr>
        <w:t xml:space="preserve"> </w:t>
      </w:r>
      <w:r w:rsidR="00AE41EB" w:rsidRPr="001456DC">
        <w:rPr>
          <w:rFonts w:eastAsia="SimSun" w:cs="Mangal"/>
          <w:kern w:val="1"/>
          <w:lang w:eastAsia="zh-CN" w:bidi="hi-IN"/>
        </w:rPr>
        <w:t>lõpp</w:t>
      </w:r>
      <w:r w:rsidR="00774BB8" w:rsidRPr="001456DC">
        <w:rPr>
          <w:rFonts w:eastAsia="SimSun" w:cs="Mangal"/>
          <w:kern w:val="1"/>
          <w:lang w:eastAsia="zh-CN" w:bidi="hi-IN"/>
        </w:rPr>
        <w:t>tähtaja</w:t>
      </w:r>
      <w:r w:rsidR="00774BB8">
        <w:rPr>
          <w:rFonts w:eastAsia="SimSun" w:cs="Mangal"/>
          <w:kern w:val="1"/>
          <w:lang w:eastAsia="zh-CN" w:bidi="hi-IN"/>
        </w:rPr>
        <w:t xml:space="preserve"> pikenemist kahe aasta võrra, s.o 2025. aasta 30</w:t>
      </w:r>
      <w:r w:rsidR="00774BB8" w:rsidRPr="00774BB8">
        <w:rPr>
          <w:rFonts w:eastAsia="SimSun" w:cs="Mangal"/>
          <w:kern w:val="1"/>
          <w:lang w:eastAsia="zh-CN" w:bidi="hi-IN"/>
        </w:rPr>
        <w:t>. juunini</w:t>
      </w:r>
      <w:r w:rsidR="00F215DC" w:rsidRPr="00084811">
        <w:rPr>
          <w:rFonts w:eastAsia="SimSun" w:cs="Mangal"/>
          <w:kern w:val="1"/>
          <w:lang w:eastAsia="zh-CN" w:bidi="hi-IN"/>
        </w:rPr>
        <w:t>.</w:t>
      </w:r>
      <w:r w:rsidR="00637754" w:rsidRPr="00637754">
        <w:rPr>
          <w:rFonts w:eastAsia="SimSun" w:cs="Mangal"/>
          <w:kern w:val="1"/>
          <w:lang w:eastAsia="zh-CN" w:bidi="hi-IN"/>
        </w:rPr>
        <w:t xml:space="preserve"> </w:t>
      </w:r>
    </w:p>
    <w:p w14:paraId="53B07CEF" w14:textId="77777777" w:rsidR="00C06977" w:rsidRDefault="00C06977" w:rsidP="00F215DC">
      <w:pPr>
        <w:jc w:val="both"/>
        <w:rPr>
          <w:rFonts w:eastAsia="SimSun" w:cs="Mangal"/>
          <w:kern w:val="1"/>
          <w:lang w:eastAsia="zh-CN" w:bidi="hi-IN"/>
        </w:rPr>
      </w:pPr>
    </w:p>
    <w:p w14:paraId="36011E0C" w14:textId="29C31974" w:rsidR="00F215DC" w:rsidRPr="00F05E44" w:rsidRDefault="00C01BEB" w:rsidP="00F215DC">
      <w:pPr>
        <w:jc w:val="both"/>
        <w:rPr>
          <w:rFonts w:eastAsia="SimSun" w:cs="Mangal"/>
          <w:kern w:val="1"/>
          <w:lang w:eastAsia="zh-CN" w:bidi="hi-IN"/>
        </w:rPr>
      </w:pPr>
      <w:r>
        <w:rPr>
          <w:rFonts w:eastAsia="SimSun" w:cs="Mangal"/>
          <w:kern w:val="1"/>
          <w:lang w:eastAsia="zh-CN" w:bidi="hi-IN"/>
        </w:rPr>
        <w:t xml:space="preserve">Nimelt võeti </w:t>
      </w:r>
      <w:r w:rsidR="00F215DC" w:rsidRPr="00084811">
        <w:rPr>
          <w:rFonts w:eastAsia="SimSun" w:cs="Mangal"/>
          <w:kern w:val="1"/>
          <w:lang w:eastAsia="zh-CN" w:bidi="hi-IN"/>
        </w:rPr>
        <w:t>23. detsembril 2020. aastal vastu</w:t>
      </w:r>
      <w:r w:rsidR="00DA54C6">
        <w:rPr>
          <w:rFonts w:eastAsia="SimSun" w:cs="Mangal"/>
          <w:kern w:val="1"/>
          <w:lang w:eastAsia="zh-CN" w:bidi="hi-IN"/>
        </w:rPr>
        <w:t xml:space="preserve"> üleminekumäärus</w:t>
      </w:r>
      <w:r w:rsidR="00F215DC" w:rsidRPr="00084811">
        <w:rPr>
          <w:rFonts w:eastAsia="SimSun" w:cs="Mangal"/>
          <w:kern w:val="1"/>
          <w:lang w:eastAsia="zh-CN" w:bidi="hi-IN"/>
        </w:rPr>
        <w:t xml:space="preserve">, </w:t>
      </w:r>
      <w:r w:rsidR="00DA54C6">
        <w:rPr>
          <w:rFonts w:eastAsia="SimSun" w:cs="Mangal"/>
          <w:kern w:val="1"/>
          <w:lang w:eastAsia="zh-CN" w:bidi="hi-IN"/>
        </w:rPr>
        <w:t xml:space="preserve">mille </w:t>
      </w:r>
      <w:r w:rsidR="00090C1B" w:rsidRPr="00090C1B">
        <w:rPr>
          <w:rFonts w:eastAsia="SimSun" w:cs="Mangal"/>
          <w:kern w:val="1"/>
          <w:lang w:eastAsia="zh-CN" w:bidi="hi-IN"/>
        </w:rPr>
        <w:t>artikli 1 lõike 1 kohaselt pikendatakse Euroopa Maaelu Arengu Põllumajandusfondist (EAFRD) toetatavate programmide puhul ühissätete</w:t>
      </w:r>
      <w:r w:rsidR="00090C1B">
        <w:rPr>
          <w:rFonts w:eastAsia="SimSun" w:cs="Mangal"/>
          <w:kern w:val="1"/>
          <w:lang w:eastAsia="zh-CN" w:bidi="hi-IN"/>
        </w:rPr>
        <w:t xml:space="preserve"> määruse</w:t>
      </w:r>
      <w:r w:rsidR="00090C1B">
        <w:rPr>
          <w:rStyle w:val="FootnoteReference"/>
          <w:rFonts w:eastAsia="SimSun" w:cs="Mangal"/>
          <w:kern w:val="1"/>
          <w:lang w:eastAsia="zh-CN" w:bidi="hi-IN"/>
        </w:rPr>
        <w:footnoteReference w:id="2"/>
      </w:r>
      <w:r w:rsidR="00090C1B" w:rsidRPr="00090C1B">
        <w:rPr>
          <w:rFonts w:eastAsia="SimSun" w:cs="Mangal"/>
          <w:kern w:val="1"/>
          <w:lang w:eastAsia="zh-CN" w:bidi="hi-IN"/>
        </w:rPr>
        <w:t xml:space="preserve"> artikli 26 lõikes 1 sätestatud 1. jaanuarist 2014 kuni 31. detsembrini 2020 kestvat ajavahemikku kuni 31. detsembrini 2022</w:t>
      </w:r>
      <w:r w:rsidR="00BC145C">
        <w:rPr>
          <w:rFonts w:eastAsia="SimSun" w:cs="Mangal"/>
          <w:kern w:val="1"/>
          <w:lang w:eastAsia="zh-CN" w:bidi="hi-IN"/>
        </w:rPr>
        <w:t xml:space="preserve"> </w:t>
      </w:r>
      <w:r w:rsidR="00BC145C" w:rsidRPr="00BC145C">
        <w:rPr>
          <w:rFonts w:eastAsia="SimSun" w:cs="Mangal"/>
          <w:kern w:val="1"/>
          <w:lang w:eastAsia="zh-CN" w:bidi="hi-IN"/>
        </w:rPr>
        <w:t>–</w:t>
      </w:r>
      <w:r w:rsidR="009B6B55">
        <w:rPr>
          <w:rFonts w:eastAsia="SimSun" w:cs="Mangal"/>
          <w:kern w:val="1"/>
          <w:lang w:eastAsia="zh-CN" w:bidi="hi-IN"/>
        </w:rPr>
        <w:t xml:space="preserve"> aastatel</w:t>
      </w:r>
      <w:r w:rsidR="00BC145C">
        <w:rPr>
          <w:rFonts w:eastAsia="SimSun" w:cs="Mangal"/>
          <w:kern w:val="1"/>
          <w:lang w:eastAsia="zh-CN" w:bidi="hi-IN"/>
        </w:rPr>
        <w:t xml:space="preserve"> 2021</w:t>
      </w:r>
      <w:r w:rsidR="00BC145C" w:rsidRPr="00BC145C">
        <w:rPr>
          <w:rFonts w:eastAsia="SimSun" w:cs="Mangal"/>
          <w:kern w:val="1"/>
          <w:lang w:eastAsia="zh-CN" w:bidi="hi-IN"/>
        </w:rPr>
        <w:t>–</w:t>
      </w:r>
      <w:r w:rsidR="00BC145C">
        <w:rPr>
          <w:rFonts w:eastAsia="SimSun" w:cs="Mangal"/>
          <w:kern w:val="1"/>
          <w:lang w:eastAsia="zh-CN" w:bidi="hi-IN"/>
        </w:rPr>
        <w:t>2022 on üleminekuperiood uude programmiperioodi</w:t>
      </w:r>
      <w:r w:rsidR="00090C1B" w:rsidRPr="00090C1B">
        <w:rPr>
          <w:rFonts w:eastAsia="SimSun" w:cs="Mangal"/>
          <w:kern w:val="1"/>
          <w:lang w:eastAsia="zh-CN" w:bidi="hi-IN"/>
        </w:rPr>
        <w:t xml:space="preserve">. Samuti pikeneb üleminekumääruse </w:t>
      </w:r>
      <w:r w:rsidR="00F215DC" w:rsidRPr="00084811">
        <w:rPr>
          <w:rFonts w:eastAsia="SimSun" w:cs="Mangal"/>
          <w:kern w:val="1"/>
          <w:lang w:eastAsia="zh-CN" w:bidi="hi-IN"/>
        </w:rPr>
        <w:t>artikli 2 punkti</w:t>
      </w:r>
      <w:r w:rsidR="00AE41EB">
        <w:rPr>
          <w:rFonts w:eastAsia="SimSun" w:cs="Mangal"/>
          <w:kern w:val="1"/>
          <w:lang w:eastAsia="zh-CN" w:bidi="hi-IN"/>
        </w:rPr>
        <w:t> </w:t>
      </w:r>
      <w:r w:rsidR="00F215DC" w:rsidRPr="00084811">
        <w:rPr>
          <w:rFonts w:eastAsia="SimSun" w:cs="Mangal"/>
          <w:kern w:val="1"/>
          <w:lang w:eastAsia="zh-CN" w:bidi="hi-IN"/>
        </w:rPr>
        <w:t xml:space="preserve">2 kohaselt </w:t>
      </w:r>
      <w:r w:rsidR="00E56DE5" w:rsidRPr="00E56DE5">
        <w:rPr>
          <w:rFonts w:eastAsia="SimSun" w:cs="Mangal"/>
          <w:kern w:val="1"/>
          <w:lang w:eastAsia="zh-CN" w:bidi="hi-IN"/>
        </w:rPr>
        <w:t xml:space="preserve">ühissätete määruse </w:t>
      </w:r>
      <w:r w:rsidR="00F215DC" w:rsidRPr="00084811">
        <w:rPr>
          <w:rFonts w:eastAsia="SimSun" w:cs="Mangal"/>
          <w:kern w:val="1"/>
          <w:lang w:eastAsia="zh-CN" w:bidi="hi-IN"/>
        </w:rPr>
        <w:t>artikli</w:t>
      </w:r>
      <w:r w:rsidR="008F640C">
        <w:rPr>
          <w:rFonts w:eastAsia="SimSun" w:cs="Mangal"/>
          <w:kern w:val="1"/>
          <w:lang w:eastAsia="zh-CN" w:bidi="hi-IN"/>
        </w:rPr>
        <w:t> </w:t>
      </w:r>
      <w:r w:rsidR="00F215DC" w:rsidRPr="00084811">
        <w:rPr>
          <w:rFonts w:eastAsia="SimSun" w:cs="Mangal"/>
          <w:kern w:val="1"/>
          <w:lang w:eastAsia="zh-CN" w:bidi="hi-IN"/>
        </w:rPr>
        <w:t>65 lõi</w:t>
      </w:r>
      <w:r w:rsidR="00E56DE5">
        <w:rPr>
          <w:rFonts w:eastAsia="SimSun" w:cs="Mangal"/>
          <w:kern w:val="1"/>
          <w:lang w:eastAsia="zh-CN" w:bidi="hi-IN"/>
        </w:rPr>
        <w:t>k</w:t>
      </w:r>
      <w:r w:rsidR="00F215DC" w:rsidRPr="00084811">
        <w:rPr>
          <w:rFonts w:eastAsia="SimSun" w:cs="Mangal"/>
          <w:kern w:val="1"/>
          <w:lang w:eastAsia="zh-CN" w:bidi="hi-IN"/>
        </w:rPr>
        <w:t>es</w:t>
      </w:r>
      <w:r w:rsidR="008F640C">
        <w:rPr>
          <w:rFonts w:eastAsia="SimSun" w:cs="Mangal"/>
          <w:kern w:val="1"/>
          <w:lang w:eastAsia="zh-CN" w:bidi="hi-IN"/>
        </w:rPr>
        <w:t> </w:t>
      </w:r>
      <w:r w:rsidR="00F215DC" w:rsidRPr="00084811">
        <w:rPr>
          <w:rFonts w:eastAsia="SimSun" w:cs="Mangal"/>
          <w:kern w:val="1"/>
          <w:lang w:eastAsia="zh-CN" w:bidi="hi-IN"/>
        </w:rPr>
        <w:t xml:space="preserve">2 </w:t>
      </w:r>
      <w:r w:rsidR="00E56DE5">
        <w:rPr>
          <w:rFonts w:eastAsia="SimSun" w:cs="Mangal"/>
          <w:kern w:val="1"/>
          <w:lang w:eastAsia="zh-CN" w:bidi="hi-IN"/>
        </w:rPr>
        <w:t>sätestatud</w:t>
      </w:r>
      <w:r w:rsidR="00F215DC" w:rsidRPr="00084811">
        <w:rPr>
          <w:rFonts w:eastAsia="SimSun" w:cs="Mangal"/>
          <w:kern w:val="1"/>
          <w:lang w:eastAsia="zh-CN" w:bidi="hi-IN"/>
        </w:rPr>
        <w:t xml:space="preserve"> </w:t>
      </w:r>
      <w:r w:rsidR="00307BA7">
        <w:rPr>
          <w:rFonts w:eastAsia="SimSun" w:cs="Mangal"/>
          <w:kern w:val="1"/>
          <w:lang w:eastAsia="zh-CN" w:bidi="hi-IN"/>
        </w:rPr>
        <w:t xml:space="preserve">kulutuste </w:t>
      </w:r>
      <w:r w:rsidR="00926046">
        <w:rPr>
          <w:rFonts w:eastAsia="SimSun" w:cs="Mangal"/>
          <w:kern w:val="1"/>
          <w:lang w:eastAsia="zh-CN" w:bidi="hi-IN"/>
        </w:rPr>
        <w:t xml:space="preserve">rahastamiskõlblikkuse periood </w:t>
      </w:r>
      <w:r w:rsidR="00F215DC" w:rsidRPr="00084811">
        <w:rPr>
          <w:rFonts w:eastAsia="SimSun" w:cs="Mangal"/>
          <w:kern w:val="1"/>
          <w:lang w:eastAsia="zh-CN" w:bidi="hi-IN"/>
        </w:rPr>
        <w:t>kahe aasta võrra</w:t>
      </w:r>
      <w:r w:rsidR="00E56DE5">
        <w:rPr>
          <w:rFonts w:eastAsia="SimSun" w:cs="Mangal"/>
          <w:kern w:val="1"/>
          <w:lang w:eastAsia="zh-CN" w:bidi="hi-IN"/>
        </w:rPr>
        <w:t xml:space="preserve"> ehk kuni </w:t>
      </w:r>
      <w:r w:rsidR="00E56DE5" w:rsidRPr="00E56DE5">
        <w:rPr>
          <w:rFonts w:eastAsia="SimSun" w:cs="Mangal"/>
          <w:kern w:val="1"/>
          <w:lang w:eastAsia="zh-CN" w:bidi="hi-IN"/>
        </w:rPr>
        <w:t>2025. aasta 31. detsembrini</w:t>
      </w:r>
      <w:r w:rsidR="00F215DC" w:rsidRPr="00084811">
        <w:rPr>
          <w:rFonts w:eastAsia="SimSun" w:cs="Mangal"/>
          <w:kern w:val="1"/>
          <w:lang w:eastAsia="zh-CN" w:bidi="hi-IN"/>
        </w:rPr>
        <w:t xml:space="preserve">. See tähendab, et </w:t>
      </w:r>
      <w:r w:rsidR="0034427F">
        <w:rPr>
          <w:rFonts w:eastAsia="SimSun" w:cs="Mangal"/>
          <w:kern w:val="1"/>
          <w:lang w:eastAsia="zh-CN" w:bidi="hi-IN"/>
        </w:rPr>
        <w:t xml:space="preserve">ühissätete määruse </w:t>
      </w:r>
      <w:r w:rsidR="00F215DC" w:rsidRPr="00084811">
        <w:rPr>
          <w:rFonts w:eastAsia="SimSun" w:cs="Mangal"/>
          <w:kern w:val="1"/>
          <w:lang w:eastAsia="zh-CN" w:bidi="hi-IN"/>
        </w:rPr>
        <w:t xml:space="preserve">artikli 65 lõike 2 kohaselt </w:t>
      </w:r>
      <w:r w:rsidR="00307BA7">
        <w:rPr>
          <w:rFonts w:eastAsia="SimSun" w:cs="Mangal"/>
          <w:kern w:val="1"/>
          <w:lang w:eastAsia="zh-CN" w:bidi="hi-IN"/>
        </w:rPr>
        <w:t xml:space="preserve">on </w:t>
      </w:r>
      <w:r w:rsidR="00F215DC" w:rsidRPr="00084811">
        <w:rPr>
          <w:rFonts w:eastAsia="SimSun" w:cs="Mangal"/>
          <w:kern w:val="1"/>
          <w:lang w:eastAsia="zh-CN" w:bidi="hi-IN"/>
        </w:rPr>
        <w:t>kulud Euroopa struktuuri- ja investeerimisfondidest toetuse saamiseks kõlblikud juhul, kui need on tekkinud toetusesaajal ja need on tasutud hiljemalt</w:t>
      </w:r>
      <w:r w:rsidR="00AE41EB">
        <w:rPr>
          <w:rFonts w:eastAsia="SimSun" w:cs="Mangal"/>
          <w:kern w:val="1"/>
          <w:lang w:eastAsia="zh-CN" w:bidi="hi-IN"/>
        </w:rPr>
        <w:t xml:space="preserve"> 2025. aasta 31. detsembril</w:t>
      </w:r>
      <w:r w:rsidR="00F215DC" w:rsidRPr="00084811">
        <w:rPr>
          <w:rFonts w:eastAsia="SimSun" w:cs="Mangal"/>
          <w:kern w:val="1"/>
          <w:lang w:eastAsia="zh-CN" w:bidi="hi-IN"/>
        </w:rPr>
        <w:t>. Tagamaks, et PRIA jõuaks programmiperioodi lõppu jäävaid väljamakseid teha enne 2025. aasta 31.</w:t>
      </w:r>
      <w:r w:rsidR="0036689B">
        <w:rPr>
          <w:rFonts w:eastAsia="SimSun" w:cs="Mangal"/>
          <w:kern w:val="1"/>
          <w:lang w:eastAsia="zh-CN" w:bidi="hi-IN"/>
        </w:rPr>
        <w:t> </w:t>
      </w:r>
      <w:r w:rsidR="00F215DC" w:rsidRPr="00084811">
        <w:rPr>
          <w:rFonts w:eastAsia="SimSun" w:cs="Mangal"/>
          <w:kern w:val="1"/>
          <w:lang w:eastAsia="zh-CN" w:bidi="hi-IN"/>
        </w:rPr>
        <w:t>detsembrit, ja võimaldamaks PRIA-le ka kuludokumentide menetlemiseks mõistlik aeg, tuuakse nii abikõlblikkust tõendavate kuludokumentide esitamise kui ka omandiõiguse ülemineku tähtaeg varasemaks</w:t>
      </w:r>
      <w:r w:rsidR="00307BA7">
        <w:rPr>
          <w:rFonts w:eastAsia="SimSun" w:cs="Mangal"/>
          <w:kern w:val="1"/>
          <w:lang w:eastAsia="zh-CN" w:bidi="hi-IN"/>
        </w:rPr>
        <w:t xml:space="preserve"> ehk 2025. aasta 30. juuniks</w:t>
      </w:r>
      <w:r w:rsidR="00F215DC" w:rsidRPr="00084811">
        <w:rPr>
          <w:rFonts w:eastAsia="SimSun" w:cs="Mangal"/>
          <w:kern w:val="1"/>
          <w:lang w:eastAsia="zh-CN" w:bidi="hi-IN"/>
        </w:rPr>
        <w:t>.</w:t>
      </w:r>
    </w:p>
    <w:p w14:paraId="7EECFEE9" w14:textId="4D382B81" w:rsidR="00D91BA3" w:rsidRDefault="00D91BA3" w:rsidP="009F091E">
      <w:pPr>
        <w:autoSpaceDE/>
        <w:autoSpaceDN/>
        <w:jc w:val="both"/>
        <w:rPr>
          <w:rFonts w:eastAsia="SimSun" w:cs="Mangal"/>
          <w:kern w:val="1"/>
          <w:lang w:eastAsia="zh-CN" w:bidi="hi-IN"/>
        </w:rPr>
      </w:pPr>
    </w:p>
    <w:p w14:paraId="7EE9D57E" w14:textId="2623D573" w:rsidR="00F05E44" w:rsidRDefault="00F05E44" w:rsidP="009F091E">
      <w:pPr>
        <w:autoSpaceDE/>
        <w:autoSpaceDN/>
        <w:jc w:val="both"/>
        <w:rPr>
          <w:rFonts w:eastAsia="SimSun" w:cs="Mangal"/>
          <w:kern w:val="1"/>
          <w:lang w:eastAsia="zh-CN" w:bidi="hi-IN"/>
        </w:rPr>
      </w:pPr>
      <w:r w:rsidRPr="00F05E44">
        <w:rPr>
          <w:rFonts w:eastAsia="SimSun" w:cs="Mangal"/>
          <w:kern w:val="1"/>
          <w:lang w:eastAsia="zh-CN" w:bidi="hi-IN"/>
        </w:rPr>
        <w:t xml:space="preserve">Vajadus pikendada toetatavate tegevuste elluviimise tähtaega on tingitud peamiselt vajadusest luua toetuse saajale soodsad võimalused toetatavate tegevuste elluviimiseks olukorras, kus kavandatud tegevuste elluviimine ettenähtud tähtaja jooksul on raskendatud seoses COVID-19 haigust põhjustava koroonaviiruse leviku tõkestamisega. Näiteks on </w:t>
      </w:r>
      <w:r>
        <w:rPr>
          <w:rFonts w:eastAsia="SimSun" w:cs="Mangal"/>
          <w:kern w:val="1"/>
          <w:lang w:eastAsia="zh-CN" w:bidi="hi-IN"/>
        </w:rPr>
        <w:t xml:space="preserve">COVID-19 haigust põhjustava koroonaviiruse leviku tõkestamiseks </w:t>
      </w:r>
      <w:r w:rsidR="00C75451">
        <w:rPr>
          <w:rFonts w:eastAsia="SimSun" w:cs="Mangal"/>
          <w:kern w:val="1"/>
          <w:lang w:eastAsia="zh-CN" w:bidi="hi-IN"/>
        </w:rPr>
        <w:t>keh</w:t>
      </w:r>
      <w:r>
        <w:rPr>
          <w:rFonts w:eastAsia="SimSun" w:cs="Mangal"/>
          <w:kern w:val="1"/>
          <w:lang w:eastAsia="zh-CN" w:bidi="hi-IN"/>
        </w:rPr>
        <w:t xml:space="preserve">testatud </w:t>
      </w:r>
      <w:r w:rsidRPr="00F05E44">
        <w:rPr>
          <w:rFonts w:eastAsia="SimSun" w:cs="Mangal"/>
          <w:kern w:val="1"/>
          <w:lang w:eastAsia="zh-CN" w:bidi="hi-IN"/>
        </w:rPr>
        <w:t>piirangute tõttu raskendatud masinate, seadmete ja ehitusmaterjalide tarnimine ning mõningal määral on katkestatud ka ehitustööde tegem</w:t>
      </w:r>
      <w:r w:rsidR="00711062">
        <w:rPr>
          <w:rFonts w:eastAsia="SimSun" w:cs="Mangal"/>
          <w:kern w:val="1"/>
          <w:lang w:eastAsia="zh-CN" w:bidi="hi-IN"/>
        </w:rPr>
        <w:t>ine jms. Seega on koroonaviiruse leviku tõkestamisega tekkinud</w:t>
      </w:r>
      <w:r w:rsidRPr="00F05E44">
        <w:rPr>
          <w:rFonts w:eastAsia="SimSun" w:cs="Mangal"/>
          <w:kern w:val="1"/>
          <w:lang w:eastAsia="zh-CN" w:bidi="hi-IN"/>
        </w:rPr>
        <w:t xml:space="preserve"> majanduslike mõjudega toimetulekuks väga oluline suunata täiendavaid rahalisi vahendeid toiduainetööstusesse investeeringute tegemiseks</w:t>
      </w:r>
      <w:r w:rsidR="00C75451">
        <w:rPr>
          <w:rFonts w:eastAsia="SimSun" w:cs="Mangal"/>
          <w:kern w:val="1"/>
          <w:lang w:eastAsia="zh-CN" w:bidi="hi-IN"/>
        </w:rPr>
        <w:t xml:space="preserve"> </w:t>
      </w:r>
      <w:r w:rsidR="00C75451" w:rsidRPr="00C75451">
        <w:rPr>
          <w:rFonts w:eastAsia="SimSun" w:cs="Mangal"/>
          <w:kern w:val="1"/>
          <w:lang w:eastAsia="zh-CN" w:bidi="hi-IN"/>
        </w:rPr>
        <w:t>ja luua tingimused selleks, et ne</w:t>
      </w:r>
      <w:r w:rsidR="00C03364">
        <w:rPr>
          <w:rFonts w:eastAsia="SimSun" w:cs="Mangal"/>
          <w:kern w:val="1"/>
          <w:lang w:eastAsia="zh-CN" w:bidi="hi-IN"/>
        </w:rPr>
        <w:t>n</w:t>
      </w:r>
      <w:r w:rsidR="00C75451" w:rsidRPr="00C75451">
        <w:rPr>
          <w:rFonts w:eastAsia="SimSun" w:cs="Mangal"/>
          <w:kern w:val="1"/>
          <w:lang w:eastAsia="zh-CN" w:bidi="hi-IN"/>
        </w:rPr>
        <w:t>d</w:t>
      </w:r>
      <w:r w:rsidR="00C03364">
        <w:rPr>
          <w:rFonts w:eastAsia="SimSun" w:cs="Mangal"/>
          <w:kern w:val="1"/>
          <w:lang w:eastAsia="zh-CN" w:bidi="hi-IN"/>
        </w:rPr>
        <w:t>e</w:t>
      </w:r>
      <w:r w:rsidR="00C75451" w:rsidRPr="00C75451">
        <w:rPr>
          <w:rFonts w:eastAsia="SimSun" w:cs="Mangal"/>
          <w:kern w:val="1"/>
          <w:lang w:eastAsia="zh-CN" w:bidi="hi-IN"/>
        </w:rPr>
        <w:t xml:space="preserve"> investeeringu</w:t>
      </w:r>
      <w:r w:rsidR="00C03364">
        <w:rPr>
          <w:rFonts w:eastAsia="SimSun" w:cs="Mangal"/>
          <w:kern w:val="1"/>
          <w:lang w:eastAsia="zh-CN" w:bidi="hi-IN"/>
        </w:rPr>
        <w:t>te</w:t>
      </w:r>
      <w:r w:rsidR="00C75451">
        <w:rPr>
          <w:rFonts w:eastAsia="SimSun" w:cs="Mangal"/>
          <w:kern w:val="1"/>
          <w:lang w:eastAsia="zh-CN" w:bidi="hi-IN"/>
        </w:rPr>
        <w:t xml:space="preserve"> </w:t>
      </w:r>
      <w:r w:rsidR="00C03364">
        <w:rPr>
          <w:rFonts w:eastAsia="SimSun" w:cs="Mangal"/>
          <w:kern w:val="1"/>
          <w:lang w:eastAsia="zh-CN" w:bidi="hi-IN"/>
        </w:rPr>
        <w:t xml:space="preserve">tegemisega </w:t>
      </w:r>
      <w:r w:rsidR="00C75451">
        <w:rPr>
          <w:rFonts w:eastAsia="SimSun" w:cs="Mangal"/>
          <w:kern w:val="1"/>
          <w:lang w:eastAsia="zh-CN" w:bidi="hi-IN"/>
        </w:rPr>
        <w:t xml:space="preserve">ka </w:t>
      </w:r>
      <w:r w:rsidR="00C03364">
        <w:rPr>
          <w:rFonts w:eastAsia="SimSun" w:cs="Mangal"/>
          <w:kern w:val="1"/>
          <w:lang w:eastAsia="zh-CN" w:bidi="hi-IN"/>
        </w:rPr>
        <w:t>lõpuni jõutakse</w:t>
      </w:r>
      <w:r w:rsidRPr="00F05E44">
        <w:rPr>
          <w:rFonts w:eastAsia="SimSun" w:cs="Mangal"/>
          <w:kern w:val="1"/>
          <w:lang w:eastAsia="zh-CN" w:bidi="hi-IN"/>
        </w:rPr>
        <w:t>, et kaasa aidata toiduainetööstuse ettevõtjate konkurentsivõime parandamisele ja lisandväärtusega toodete töötlemise osakaalu suurendamisele, mis võimaldaks turult kõrgema ja stabiilsema sissetuleku kõigile tarneahela lülidele.</w:t>
      </w:r>
    </w:p>
    <w:p w14:paraId="4075F37D" w14:textId="423CDAB5" w:rsidR="00F05E44" w:rsidRDefault="00F05E44" w:rsidP="009F091E">
      <w:pPr>
        <w:autoSpaceDE/>
        <w:autoSpaceDN/>
        <w:jc w:val="both"/>
        <w:rPr>
          <w:rFonts w:eastAsia="SimSun" w:cs="Mangal"/>
          <w:kern w:val="1"/>
          <w:lang w:eastAsia="zh-CN" w:bidi="hi-IN"/>
        </w:rPr>
      </w:pPr>
    </w:p>
    <w:p w14:paraId="339F3855" w14:textId="528AF5B0" w:rsidR="00711062" w:rsidRDefault="00711062" w:rsidP="009F091E">
      <w:pPr>
        <w:autoSpaceDE/>
        <w:autoSpaceDN/>
        <w:jc w:val="both"/>
        <w:rPr>
          <w:rFonts w:eastAsia="SimSun" w:cs="Mangal"/>
          <w:kern w:val="1"/>
          <w:lang w:eastAsia="zh-CN" w:bidi="hi-IN"/>
        </w:rPr>
      </w:pPr>
      <w:r w:rsidRPr="00711062">
        <w:rPr>
          <w:rFonts w:eastAsia="SimSun" w:cs="Mangal"/>
          <w:kern w:val="1"/>
          <w:lang w:eastAsia="zh-CN" w:bidi="hi-IN"/>
        </w:rPr>
        <w:t>Lähtudes eespool toodust ja võttes arve</w:t>
      </w:r>
      <w:r>
        <w:rPr>
          <w:rFonts w:eastAsia="SimSun" w:cs="Mangal"/>
          <w:kern w:val="1"/>
          <w:lang w:eastAsia="zh-CN" w:bidi="hi-IN"/>
        </w:rPr>
        <w:t xml:space="preserve">sse, et </w:t>
      </w:r>
      <w:r w:rsidR="00B5194F">
        <w:rPr>
          <w:rFonts w:eastAsia="SimSun" w:cs="Mangal"/>
          <w:kern w:val="1"/>
          <w:lang w:eastAsia="zh-CN" w:bidi="hi-IN"/>
        </w:rPr>
        <w:t xml:space="preserve">endiselt </w:t>
      </w:r>
      <w:r>
        <w:rPr>
          <w:rFonts w:eastAsia="SimSun" w:cs="Mangal"/>
          <w:kern w:val="1"/>
          <w:lang w:eastAsia="zh-CN" w:bidi="hi-IN"/>
        </w:rPr>
        <w:t>on kehtestatud piirangud koroonaviiruse leviku tõkestamiseks</w:t>
      </w:r>
      <w:r w:rsidRPr="00711062">
        <w:rPr>
          <w:rFonts w:eastAsia="SimSun" w:cs="Mangal"/>
          <w:kern w:val="1"/>
          <w:lang w:eastAsia="zh-CN" w:bidi="hi-IN"/>
        </w:rPr>
        <w:t xml:space="preserve">, ei ole mõistlik toetatavate tegevuste elluviimise tähtaega pikendada lühemaks ajaks kui ühe aasta võrra, sest </w:t>
      </w:r>
      <w:r w:rsidR="007E5E64">
        <w:rPr>
          <w:rFonts w:eastAsia="SimSun" w:cs="Mangal"/>
          <w:kern w:val="1"/>
          <w:lang w:eastAsia="zh-CN" w:bidi="hi-IN"/>
        </w:rPr>
        <w:t xml:space="preserve">kavandatud </w:t>
      </w:r>
      <w:r w:rsidRPr="00711062">
        <w:rPr>
          <w:rFonts w:eastAsia="SimSun" w:cs="Mangal"/>
          <w:kern w:val="1"/>
          <w:lang w:eastAsia="zh-CN" w:bidi="hi-IN"/>
        </w:rPr>
        <w:t>tegevuste elluviimine võib viibida rohkem kui mõni kuu.</w:t>
      </w:r>
    </w:p>
    <w:p w14:paraId="3FD96E70" w14:textId="77777777" w:rsidR="00711062" w:rsidRDefault="00711062" w:rsidP="009F091E">
      <w:pPr>
        <w:autoSpaceDE/>
        <w:autoSpaceDN/>
        <w:jc w:val="both"/>
        <w:rPr>
          <w:rFonts w:eastAsia="SimSun" w:cs="Mangal"/>
          <w:kern w:val="1"/>
          <w:lang w:eastAsia="zh-CN" w:bidi="hi-IN"/>
        </w:rPr>
      </w:pPr>
    </w:p>
    <w:p w14:paraId="5B2EA615" w14:textId="0901461D" w:rsidR="00A84B7C" w:rsidRDefault="00A84B7C" w:rsidP="009F091E">
      <w:pPr>
        <w:autoSpaceDE/>
        <w:autoSpaceDN/>
        <w:jc w:val="both"/>
        <w:rPr>
          <w:rFonts w:eastAsia="SimSun" w:cs="Mangal"/>
          <w:kern w:val="1"/>
          <w:lang w:eastAsia="zh-CN" w:bidi="hi-IN"/>
        </w:rPr>
      </w:pPr>
      <w:r>
        <w:rPr>
          <w:rFonts w:eastAsia="SimSun" w:cs="Mangal"/>
          <w:kern w:val="1"/>
          <w:lang w:eastAsia="zh-CN" w:bidi="hi-IN"/>
        </w:rPr>
        <w:t xml:space="preserve">Eelnõuga täiendatakse </w:t>
      </w:r>
      <w:r w:rsidR="007E5E64">
        <w:rPr>
          <w:rFonts w:eastAsia="SimSun" w:cs="Mangal"/>
          <w:kern w:val="1"/>
          <w:lang w:eastAsia="zh-CN" w:bidi="hi-IN"/>
        </w:rPr>
        <w:t xml:space="preserve">nii </w:t>
      </w:r>
      <w:r>
        <w:rPr>
          <w:rFonts w:eastAsia="SimSun" w:cs="Mangal"/>
          <w:kern w:val="1"/>
          <w:lang w:eastAsia="zh-CN" w:bidi="hi-IN"/>
        </w:rPr>
        <w:t>määruse</w:t>
      </w:r>
      <w:r w:rsidRPr="00A84B7C">
        <w:rPr>
          <w:rFonts w:eastAsia="SimSun" w:cs="Mangal"/>
          <w:kern w:val="1"/>
          <w:lang w:eastAsia="zh-CN" w:bidi="hi-IN"/>
        </w:rPr>
        <w:t xml:space="preserve"> </w:t>
      </w:r>
      <w:r>
        <w:rPr>
          <w:rFonts w:eastAsia="SimSun" w:cs="Mangal"/>
          <w:kern w:val="1"/>
          <w:lang w:eastAsia="zh-CN" w:bidi="hi-IN"/>
        </w:rPr>
        <w:t xml:space="preserve">nr 5 </w:t>
      </w:r>
      <w:r w:rsidR="007E5E64">
        <w:rPr>
          <w:rFonts w:eastAsia="SimSun" w:cs="Mangal"/>
          <w:kern w:val="1"/>
          <w:lang w:eastAsia="zh-CN" w:bidi="hi-IN"/>
        </w:rPr>
        <w:t>kui ka</w:t>
      </w:r>
      <w:r>
        <w:rPr>
          <w:rFonts w:eastAsia="SimSun" w:cs="Mangal"/>
          <w:kern w:val="1"/>
          <w:lang w:eastAsia="zh-CN" w:bidi="hi-IN"/>
        </w:rPr>
        <w:t xml:space="preserve"> </w:t>
      </w:r>
      <w:r w:rsidR="007E5E64">
        <w:rPr>
          <w:rFonts w:eastAsia="SimSun" w:cs="Mangal"/>
          <w:kern w:val="1"/>
          <w:lang w:eastAsia="zh-CN" w:bidi="hi-IN"/>
        </w:rPr>
        <w:t xml:space="preserve">määruse </w:t>
      </w:r>
      <w:r w:rsidR="00520E76">
        <w:rPr>
          <w:rFonts w:eastAsia="SimSun" w:cs="Mangal"/>
          <w:kern w:val="1"/>
          <w:lang w:eastAsia="zh-CN" w:bidi="hi-IN"/>
        </w:rPr>
        <w:t xml:space="preserve">nr </w:t>
      </w:r>
      <w:r>
        <w:rPr>
          <w:rFonts w:eastAsia="SimSun" w:cs="Mangal"/>
          <w:kern w:val="1"/>
          <w:lang w:eastAsia="zh-CN" w:bidi="hi-IN"/>
        </w:rPr>
        <w:t>6 § 20 lõikega 9</w:t>
      </w:r>
      <w:r w:rsidRPr="00A84B7C">
        <w:rPr>
          <w:rFonts w:eastAsia="SimSun" w:cs="Mangal"/>
          <w:kern w:val="1"/>
          <w:lang w:eastAsia="zh-CN" w:bidi="hi-IN"/>
        </w:rPr>
        <w:t xml:space="preserve">, mille kohaselt loetakse eespool nimetatud toetuse saaja puhul taotluse rahuldamise otsuses määratud tegevuse elluviimise või investeeringu tegemise tähtaeg ühe aasta võrra pikenenuks ehk toetuse saaja võib viia tegevuse ellu ja võtta toetuse abil ostetud investeeringuobjekti sihtotstarbeliselt kasutusse ning esitada investeeringu tegemist tõendavad dokumendid kolme aasta jooksul arvates PRIA poolt taotluse rahuldamise otsuse tegemisest. Tegevuse elluviimise või </w:t>
      </w:r>
      <w:r w:rsidRPr="00A84B7C">
        <w:rPr>
          <w:rFonts w:eastAsia="SimSun" w:cs="Mangal"/>
          <w:kern w:val="1"/>
          <w:lang w:eastAsia="zh-CN" w:bidi="hi-IN"/>
        </w:rPr>
        <w:lastRenderedPageBreak/>
        <w:t>investeeringu tegemise tähtaeg on toetuse taotluse rahuldamise otsuse üks osa, mida eelnõu kohaselt pikendatakse kõigile toetuse saajatele ühetaoliselt. Muudatuse tõttu võib tekkida õiguslik ebaselgus määrusega võimaldatud pikema tähtaja ja haldusaktiga iga toetuse saaja jaoks kindlaks määratud toetuse elluviimise tingimuste vahel. Selleks, et vältida tarbetut töökoormust, mida tooks kaasa õigusselguse tagamiseks kõikide haldusaktide muutmine, on probleem lahendatud õigusnormi abil, mis loeb tähtaja pikenenuks ka haldusaktides.</w:t>
      </w:r>
    </w:p>
    <w:p w14:paraId="7CF656A6" w14:textId="7704F0A1" w:rsidR="00653ED5" w:rsidRDefault="00653ED5" w:rsidP="009F091E">
      <w:pPr>
        <w:autoSpaceDE/>
        <w:autoSpaceDN/>
        <w:jc w:val="both"/>
        <w:rPr>
          <w:rFonts w:eastAsia="SimSun" w:cs="Mangal"/>
          <w:kern w:val="1"/>
          <w:lang w:eastAsia="zh-CN" w:bidi="hi-IN"/>
        </w:rPr>
      </w:pPr>
    </w:p>
    <w:p w14:paraId="139043E2" w14:textId="7BED771F" w:rsidR="00653ED5" w:rsidRDefault="00653ED5" w:rsidP="009F091E">
      <w:pPr>
        <w:autoSpaceDE/>
        <w:autoSpaceDN/>
        <w:jc w:val="both"/>
        <w:rPr>
          <w:rFonts w:eastAsia="SimSun" w:cs="Mangal"/>
          <w:kern w:val="1"/>
          <w:lang w:eastAsia="zh-CN" w:bidi="hi-IN"/>
        </w:rPr>
      </w:pPr>
      <w:r w:rsidRPr="00653ED5">
        <w:rPr>
          <w:rFonts w:eastAsia="SimSun" w:cs="Mangal"/>
          <w:b/>
          <w:kern w:val="1"/>
          <w:lang w:eastAsia="zh-CN" w:bidi="hi-IN"/>
        </w:rPr>
        <w:t>Eelnõu §-ga 2</w:t>
      </w:r>
      <w:r w:rsidRPr="00653ED5">
        <w:rPr>
          <w:rFonts w:eastAsia="SimSun" w:cs="Mangal"/>
          <w:kern w:val="1"/>
          <w:lang w:eastAsia="zh-CN" w:bidi="hi-IN"/>
        </w:rPr>
        <w:t xml:space="preserve"> muudetakse määrust n</w:t>
      </w:r>
      <w:r>
        <w:rPr>
          <w:rFonts w:eastAsia="SimSun" w:cs="Mangal"/>
          <w:kern w:val="1"/>
          <w:lang w:eastAsia="zh-CN" w:bidi="hi-IN"/>
        </w:rPr>
        <w:t>r 3</w:t>
      </w:r>
      <w:r w:rsidRPr="00653ED5">
        <w:rPr>
          <w:rFonts w:eastAsia="SimSun" w:cs="Mangal"/>
          <w:kern w:val="1"/>
          <w:lang w:eastAsia="zh-CN" w:bidi="hi-IN"/>
        </w:rPr>
        <w:t>.</w:t>
      </w:r>
    </w:p>
    <w:p w14:paraId="5FFFE76E" w14:textId="378CA68A" w:rsidR="00653ED5" w:rsidRDefault="00653ED5" w:rsidP="009F091E">
      <w:pPr>
        <w:autoSpaceDE/>
        <w:autoSpaceDN/>
        <w:jc w:val="both"/>
        <w:rPr>
          <w:rFonts w:eastAsia="SimSun" w:cs="Mangal"/>
          <w:kern w:val="1"/>
          <w:lang w:eastAsia="zh-CN" w:bidi="hi-IN"/>
        </w:rPr>
      </w:pPr>
    </w:p>
    <w:p w14:paraId="2E4D26DF" w14:textId="2EC8C16E" w:rsidR="00861F25" w:rsidRDefault="00653ED5" w:rsidP="009F636A">
      <w:pPr>
        <w:autoSpaceDE/>
        <w:autoSpaceDN/>
        <w:jc w:val="both"/>
        <w:rPr>
          <w:rFonts w:eastAsia="SimSun" w:cs="Mangal"/>
          <w:kern w:val="1"/>
          <w:lang w:eastAsia="zh-CN" w:bidi="hi-IN"/>
        </w:rPr>
      </w:pPr>
      <w:r w:rsidRPr="00653ED5">
        <w:rPr>
          <w:rFonts w:eastAsia="SimSun" w:cs="Mangal"/>
          <w:b/>
          <w:kern w:val="1"/>
          <w:lang w:eastAsia="zh-CN" w:bidi="hi-IN"/>
        </w:rPr>
        <w:t>Eelnõu § 2 punkti</w:t>
      </w:r>
      <w:r w:rsidR="009F636A">
        <w:rPr>
          <w:rFonts w:eastAsia="SimSun" w:cs="Mangal"/>
          <w:b/>
          <w:kern w:val="1"/>
          <w:lang w:eastAsia="zh-CN" w:bidi="hi-IN"/>
        </w:rPr>
        <w:t>s</w:t>
      </w:r>
      <w:r w:rsidRPr="00653ED5">
        <w:rPr>
          <w:rFonts w:eastAsia="SimSun" w:cs="Mangal"/>
          <w:b/>
          <w:kern w:val="1"/>
          <w:lang w:eastAsia="zh-CN" w:bidi="hi-IN"/>
        </w:rPr>
        <w:t xml:space="preserve"> 1</w:t>
      </w:r>
      <w:r w:rsidR="008A7519">
        <w:rPr>
          <w:rFonts w:eastAsia="SimSun" w:cs="Mangal"/>
          <w:kern w:val="1"/>
          <w:lang w:eastAsia="zh-CN" w:bidi="hi-IN"/>
        </w:rPr>
        <w:t xml:space="preserve"> t</w:t>
      </w:r>
      <w:r w:rsidR="00C03364">
        <w:rPr>
          <w:rFonts w:eastAsia="SimSun" w:cs="Mangal"/>
          <w:kern w:val="1"/>
          <w:lang w:eastAsia="zh-CN" w:bidi="hi-IN"/>
        </w:rPr>
        <w:t>eh</w:t>
      </w:r>
      <w:r w:rsidR="008A7519">
        <w:rPr>
          <w:rFonts w:eastAsia="SimSun" w:cs="Mangal"/>
          <w:kern w:val="1"/>
          <w:lang w:eastAsia="zh-CN" w:bidi="hi-IN"/>
        </w:rPr>
        <w:t>akse määruse</w:t>
      </w:r>
      <w:r w:rsidR="00C03364">
        <w:rPr>
          <w:rFonts w:eastAsia="SimSun" w:cs="Mangal"/>
          <w:kern w:val="1"/>
          <w:lang w:eastAsia="zh-CN" w:bidi="hi-IN"/>
        </w:rPr>
        <w:t>s</w:t>
      </w:r>
      <w:r w:rsidR="008A7519">
        <w:rPr>
          <w:rFonts w:eastAsia="SimSun" w:cs="Mangal"/>
          <w:kern w:val="1"/>
          <w:lang w:eastAsia="zh-CN" w:bidi="hi-IN"/>
        </w:rPr>
        <w:t xml:space="preserve"> </w:t>
      </w:r>
      <w:r w:rsidR="00F51696">
        <w:rPr>
          <w:rFonts w:eastAsia="SimSun" w:cs="Mangal"/>
          <w:kern w:val="1"/>
          <w:lang w:eastAsia="zh-CN" w:bidi="hi-IN"/>
        </w:rPr>
        <w:t xml:space="preserve">nr 3 </w:t>
      </w:r>
      <w:r w:rsidR="00C03364">
        <w:rPr>
          <w:rFonts w:eastAsia="SimSun" w:cs="Mangal"/>
          <w:kern w:val="1"/>
          <w:lang w:eastAsia="zh-CN" w:bidi="hi-IN"/>
        </w:rPr>
        <w:t xml:space="preserve">normitehniline muudatus ning asendatakse </w:t>
      </w:r>
      <w:r w:rsidR="009F636A">
        <w:rPr>
          <w:rFonts w:eastAsia="SimSun" w:cs="Mangal"/>
          <w:kern w:val="1"/>
          <w:lang w:eastAsia="zh-CN" w:bidi="hi-IN"/>
        </w:rPr>
        <w:t>6.</w:t>
      </w:r>
      <w:r w:rsidR="00861F25">
        <w:rPr>
          <w:rFonts w:eastAsia="SimSun" w:cs="Mangal"/>
          <w:kern w:val="1"/>
          <w:lang w:eastAsia="zh-CN" w:bidi="hi-IN"/>
        </w:rPr>
        <w:t> </w:t>
      </w:r>
      <w:r w:rsidR="009F636A">
        <w:rPr>
          <w:rFonts w:eastAsia="SimSun" w:cs="Mangal"/>
          <w:kern w:val="1"/>
          <w:lang w:eastAsia="zh-CN" w:bidi="hi-IN"/>
        </w:rPr>
        <w:t xml:space="preserve">peatüki ja </w:t>
      </w:r>
      <w:r w:rsidR="008A7519">
        <w:rPr>
          <w:rFonts w:eastAsia="SimSun" w:cs="Mangal"/>
          <w:kern w:val="1"/>
          <w:lang w:eastAsia="zh-CN" w:bidi="hi-IN"/>
        </w:rPr>
        <w:t>§</w:t>
      </w:r>
      <w:r w:rsidR="00861F25">
        <w:rPr>
          <w:rFonts w:eastAsia="SimSun" w:cs="Mangal"/>
          <w:kern w:val="1"/>
          <w:lang w:eastAsia="zh-CN" w:bidi="hi-IN"/>
        </w:rPr>
        <w:t> </w:t>
      </w:r>
      <w:r w:rsidR="008A7519">
        <w:rPr>
          <w:rFonts w:eastAsia="SimSun" w:cs="Mangal"/>
          <w:kern w:val="1"/>
          <w:lang w:eastAsia="zh-CN" w:bidi="hi-IN"/>
        </w:rPr>
        <w:t>19</w:t>
      </w:r>
      <w:r w:rsidR="008A7519" w:rsidRPr="008A7519">
        <w:rPr>
          <w:rFonts w:eastAsia="SimSun" w:cs="Mangal"/>
          <w:kern w:val="1"/>
          <w:lang w:eastAsia="zh-CN" w:bidi="hi-IN"/>
        </w:rPr>
        <w:t xml:space="preserve"> pealkiri „Rakendussäte“ pealkirjaga „Rakendussätted“</w:t>
      </w:r>
      <w:r w:rsidR="008A7519">
        <w:rPr>
          <w:rFonts w:eastAsia="SimSun" w:cs="Mangal"/>
          <w:kern w:val="1"/>
          <w:lang w:eastAsia="zh-CN" w:bidi="hi-IN"/>
        </w:rPr>
        <w:t xml:space="preserve">. Muudatus on </w:t>
      </w:r>
      <w:r w:rsidR="008A7519" w:rsidRPr="008A7519">
        <w:rPr>
          <w:rFonts w:eastAsia="SimSun" w:cs="Mangal"/>
          <w:kern w:val="1"/>
          <w:lang w:eastAsia="zh-CN" w:bidi="hi-IN"/>
        </w:rPr>
        <w:t xml:space="preserve">seotud eelnõu </w:t>
      </w:r>
      <w:r w:rsidR="008A7519">
        <w:rPr>
          <w:rFonts w:eastAsia="SimSun" w:cs="Mangal"/>
          <w:kern w:val="1"/>
          <w:lang w:eastAsia="zh-CN" w:bidi="hi-IN"/>
        </w:rPr>
        <w:t xml:space="preserve">§ 2 punktiga </w:t>
      </w:r>
      <w:r w:rsidR="008A7519" w:rsidRPr="008A7519">
        <w:rPr>
          <w:rFonts w:eastAsia="SimSun" w:cs="Mangal"/>
          <w:kern w:val="1"/>
          <w:lang w:eastAsia="zh-CN" w:bidi="hi-IN"/>
        </w:rPr>
        <w:t>2, mille kohase</w:t>
      </w:r>
      <w:r w:rsidR="008A7519">
        <w:rPr>
          <w:rFonts w:eastAsia="SimSun" w:cs="Mangal"/>
          <w:kern w:val="1"/>
          <w:lang w:eastAsia="zh-CN" w:bidi="hi-IN"/>
        </w:rPr>
        <w:t>lt li</w:t>
      </w:r>
      <w:r w:rsidR="008F4E58">
        <w:rPr>
          <w:rFonts w:eastAsia="SimSun" w:cs="Mangal"/>
          <w:kern w:val="1"/>
          <w:lang w:eastAsia="zh-CN" w:bidi="hi-IN"/>
        </w:rPr>
        <w:t xml:space="preserve">sandub määrusesse </w:t>
      </w:r>
      <w:r w:rsidR="00F51696">
        <w:rPr>
          <w:rFonts w:eastAsia="SimSun" w:cs="Mangal"/>
          <w:kern w:val="1"/>
          <w:lang w:eastAsia="zh-CN" w:bidi="hi-IN"/>
        </w:rPr>
        <w:t xml:space="preserve">nr 3 </w:t>
      </w:r>
      <w:r w:rsidR="008F4E58">
        <w:rPr>
          <w:rFonts w:eastAsia="SimSun" w:cs="Mangal"/>
          <w:kern w:val="1"/>
          <w:lang w:eastAsia="zh-CN" w:bidi="hi-IN"/>
        </w:rPr>
        <w:t>k</w:t>
      </w:r>
      <w:r w:rsidR="00627B5D">
        <w:rPr>
          <w:rFonts w:eastAsia="SimSun" w:cs="Mangal"/>
          <w:kern w:val="1"/>
          <w:lang w:eastAsia="zh-CN" w:bidi="hi-IN"/>
        </w:rPr>
        <w:t>olm</w:t>
      </w:r>
      <w:r w:rsidR="008F4E58">
        <w:rPr>
          <w:rFonts w:eastAsia="SimSun" w:cs="Mangal"/>
          <w:kern w:val="1"/>
          <w:lang w:eastAsia="zh-CN" w:bidi="hi-IN"/>
        </w:rPr>
        <w:t xml:space="preserve"> uut</w:t>
      </w:r>
      <w:r w:rsidR="008A7519">
        <w:rPr>
          <w:rFonts w:eastAsia="SimSun" w:cs="Mangal"/>
          <w:kern w:val="1"/>
          <w:lang w:eastAsia="zh-CN" w:bidi="hi-IN"/>
        </w:rPr>
        <w:t xml:space="preserve"> rakendussäte</w:t>
      </w:r>
      <w:r w:rsidR="008F4E58">
        <w:rPr>
          <w:rFonts w:eastAsia="SimSun" w:cs="Mangal"/>
          <w:kern w:val="1"/>
          <w:lang w:eastAsia="zh-CN" w:bidi="hi-IN"/>
        </w:rPr>
        <w:t>t</w:t>
      </w:r>
      <w:r w:rsidR="008A7519" w:rsidRPr="008A7519">
        <w:rPr>
          <w:rFonts w:eastAsia="SimSun" w:cs="Mangal"/>
          <w:kern w:val="1"/>
          <w:lang w:eastAsia="zh-CN" w:bidi="hi-IN"/>
        </w:rPr>
        <w:t>.</w:t>
      </w:r>
    </w:p>
    <w:p w14:paraId="3C67E912" w14:textId="28CF34DE" w:rsidR="008A7519" w:rsidRDefault="008A7519" w:rsidP="008A7519">
      <w:pPr>
        <w:autoSpaceDE/>
        <w:autoSpaceDN/>
        <w:jc w:val="both"/>
        <w:rPr>
          <w:rFonts w:eastAsia="SimSun" w:cs="Mangal"/>
          <w:kern w:val="1"/>
          <w:lang w:eastAsia="zh-CN" w:bidi="hi-IN"/>
        </w:rPr>
      </w:pPr>
    </w:p>
    <w:p w14:paraId="302BEE68" w14:textId="5E659DE8" w:rsidR="008A7519" w:rsidRDefault="008A7519" w:rsidP="008A7519">
      <w:pPr>
        <w:autoSpaceDE/>
        <w:autoSpaceDN/>
        <w:jc w:val="both"/>
        <w:rPr>
          <w:rFonts w:eastAsia="SimSun" w:cs="Mangal"/>
          <w:kern w:val="1"/>
          <w:lang w:eastAsia="zh-CN" w:bidi="hi-IN"/>
        </w:rPr>
      </w:pPr>
      <w:r w:rsidRPr="008A7519">
        <w:rPr>
          <w:rFonts w:eastAsia="SimSun" w:cs="Mangal"/>
          <w:b/>
          <w:kern w:val="1"/>
          <w:lang w:eastAsia="zh-CN" w:bidi="hi-IN"/>
        </w:rPr>
        <w:t xml:space="preserve">Eelnõu § 2 punktiga 2 </w:t>
      </w:r>
      <w:r w:rsidR="00E467B3" w:rsidRPr="00E467B3">
        <w:rPr>
          <w:rFonts w:eastAsia="SimSun" w:cs="Mangal"/>
          <w:kern w:val="1"/>
          <w:lang w:eastAsia="zh-CN" w:bidi="hi-IN"/>
        </w:rPr>
        <w:t>tehakse muudatu</w:t>
      </w:r>
      <w:r w:rsidR="006D1384">
        <w:rPr>
          <w:rFonts w:eastAsia="SimSun" w:cs="Mangal"/>
          <w:kern w:val="1"/>
          <w:lang w:eastAsia="zh-CN" w:bidi="hi-IN"/>
        </w:rPr>
        <w:t>s</w:t>
      </w:r>
      <w:r w:rsidR="00F51696">
        <w:rPr>
          <w:rFonts w:eastAsia="SimSun" w:cs="Mangal"/>
          <w:kern w:val="1"/>
          <w:lang w:eastAsia="zh-CN" w:bidi="hi-IN"/>
        </w:rPr>
        <w:t xml:space="preserve">, millega </w:t>
      </w:r>
      <w:r w:rsidR="00103FBD">
        <w:rPr>
          <w:rFonts w:eastAsia="SimSun" w:cs="Mangal"/>
          <w:kern w:val="1"/>
          <w:lang w:eastAsia="zh-CN" w:bidi="hi-IN"/>
        </w:rPr>
        <w:t>pikendatakse projekti</w:t>
      </w:r>
      <w:r w:rsidR="006D1384" w:rsidRPr="006D1384">
        <w:rPr>
          <w:rFonts w:eastAsia="SimSun" w:cs="Mangal"/>
          <w:kern w:val="1"/>
          <w:lang w:eastAsia="zh-CN" w:bidi="hi-IN"/>
        </w:rPr>
        <w:t xml:space="preserve"> elluviimise tähtaega nendel toetuse saaj</w:t>
      </w:r>
      <w:r w:rsidR="006D1384">
        <w:rPr>
          <w:rFonts w:eastAsia="SimSun" w:cs="Mangal"/>
          <w:kern w:val="1"/>
          <w:lang w:eastAsia="zh-CN" w:bidi="hi-IN"/>
        </w:rPr>
        <w:t>atel, kes esitasid taotluse 2015</w:t>
      </w:r>
      <w:r w:rsidR="006D1384" w:rsidRPr="006D1384">
        <w:rPr>
          <w:rFonts w:eastAsia="SimSun" w:cs="Mangal"/>
          <w:kern w:val="1"/>
          <w:lang w:eastAsia="zh-CN" w:bidi="hi-IN"/>
        </w:rPr>
        <w:t>. aasta taotlusvoorus ning kelle taotlused</w:t>
      </w:r>
      <w:r w:rsidR="006D1384">
        <w:rPr>
          <w:rFonts w:eastAsia="SimSun" w:cs="Mangal"/>
          <w:kern w:val="1"/>
          <w:lang w:eastAsia="zh-CN" w:bidi="hi-IN"/>
        </w:rPr>
        <w:t xml:space="preserve"> on PRIA</w:t>
      </w:r>
      <w:r w:rsidR="00861F25">
        <w:rPr>
          <w:rFonts w:eastAsia="SimSun" w:cs="Mangal"/>
          <w:kern w:val="1"/>
          <w:lang w:eastAsia="zh-CN" w:bidi="hi-IN"/>
        </w:rPr>
        <w:t xml:space="preserve"> rahuldanud</w:t>
      </w:r>
      <w:r w:rsidR="00103FBD">
        <w:rPr>
          <w:rFonts w:eastAsia="SimSun" w:cs="Mangal"/>
          <w:kern w:val="1"/>
          <w:lang w:eastAsia="zh-CN" w:bidi="hi-IN"/>
        </w:rPr>
        <w:t>, kuni 2021. aasta 31. detsembrini. Vajadus pikendada projekti elluviimis</w:t>
      </w:r>
      <w:r w:rsidR="00EC75EF">
        <w:rPr>
          <w:rFonts w:eastAsia="SimSun" w:cs="Mangal"/>
          <w:kern w:val="1"/>
          <w:lang w:eastAsia="zh-CN" w:bidi="hi-IN"/>
        </w:rPr>
        <w:t>e</w:t>
      </w:r>
      <w:r w:rsidR="00103FBD">
        <w:rPr>
          <w:rFonts w:eastAsia="SimSun" w:cs="Mangal"/>
          <w:kern w:val="1"/>
          <w:lang w:eastAsia="zh-CN" w:bidi="hi-IN"/>
        </w:rPr>
        <w:t xml:space="preserve"> </w:t>
      </w:r>
      <w:r w:rsidR="00EC75EF">
        <w:rPr>
          <w:rFonts w:eastAsia="SimSun" w:cs="Mangal"/>
          <w:kern w:val="1"/>
          <w:lang w:eastAsia="zh-CN" w:bidi="hi-IN"/>
        </w:rPr>
        <w:t xml:space="preserve">tähtaega </w:t>
      </w:r>
      <w:r w:rsidR="00103FBD">
        <w:rPr>
          <w:rFonts w:eastAsia="SimSun" w:cs="Mangal"/>
          <w:kern w:val="1"/>
          <w:lang w:eastAsia="zh-CN" w:bidi="hi-IN"/>
        </w:rPr>
        <w:t xml:space="preserve">tuleneb sellest, et </w:t>
      </w:r>
      <w:r w:rsidR="00103FBD" w:rsidRPr="00103FBD">
        <w:rPr>
          <w:rFonts w:eastAsia="SimSun" w:cs="Mangal"/>
          <w:kern w:val="1"/>
          <w:lang w:eastAsia="zh-CN" w:bidi="hi-IN"/>
        </w:rPr>
        <w:t xml:space="preserve">COVID-19 haigust põhjustava koroonaviiruse leviku tõkestamiseks </w:t>
      </w:r>
      <w:r w:rsidR="00103FBD">
        <w:rPr>
          <w:rFonts w:eastAsia="SimSun" w:cs="Mangal"/>
          <w:kern w:val="1"/>
          <w:lang w:eastAsia="zh-CN" w:bidi="hi-IN"/>
        </w:rPr>
        <w:t>on kehtestatud erinevaid piiranguid, millest tulenevalt ei ole toetuse saajad saanud projekte kavandatud aja</w:t>
      </w:r>
      <w:r w:rsidR="00533157">
        <w:rPr>
          <w:rFonts w:eastAsia="SimSun" w:cs="Mangal"/>
          <w:kern w:val="1"/>
          <w:lang w:eastAsia="zh-CN" w:bidi="hi-IN"/>
        </w:rPr>
        <w:t>ks</w:t>
      </w:r>
      <w:r w:rsidR="00103FBD">
        <w:rPr>
          <w:rFonts w:eastAsia="SimSun" w:cs="Mangal"/>
          <w:kern w:val="1"/>
          <w:lang w:eastAsia="zh-CN" w:bidi="hi-IN"/>
        </w:rPr>
        <w:t xml:space="preserve"> ja mahus ellu viia ning </w:t>
      </w:r>
      <w:r w:rsidR="00B5194F">
        <w:rPr>
          <w:rFonts w:eastAsia="SimSun" w:cs="Mangal"/>
          <w:kern w:val="1"/>
          <w:lang w:eastAsia="zh-CN" w:bidi="hi-IN"/>
        </w:rPr>
        <w:t xml:space="preserve">seeläbi </w:t>
      </w:r>
      <w:r w:rsidR="00103FBD">
        <w:rPr>
          <w:rFonts w:eastAsia="SimSun" w:cs="Mangal"/>
          <w:kern w:val="1"/>
          <w:lang w:eastAsia="zh-CN" w:bidi="hi-IN"/>
        </w:rPr>
        <w:t>saavutada s</w:t>
      </w:r>
      <w:r w:rsidR="00B906E0">
        <w:rPr>
          <w:rFonts w:eastAsia="SimSun" w:cs="Mangal"/>
          <w:kern w:val="1"/>
          <w:lang w:eastAsia="zh-CN" w:bidi="hi-IN"/>
        </w:rPr>
        <w:t xml:space="preserve">eatud </w:t>
      </w:r>
      <w:r w:rsidR="00390978">
        <w:rPr>
          <w:rFonts w:eastAsia="SimSun" w:cs="Mangal"/>
          <w:kern w:val="1"/>
          <w:lang w:eastAsia="zh-CN" w:bidi="hi-IN"/>
        </w:rPr>
        <w:t xml:space="preserve">projekti </w:t>
      </w:r>
      <w:r w:rsidR="00B906E0">
        <w:rPr>
          <w:rFonts w:eastAsia="SimSun" w:cs="Mangal"/>
          <w:kern w:val="1"/>
          <w:lang w:eastAsia="zh-CN" w:bidi="hi-IN"/>
        </w:rPr>
        <w:t>eesmär</w:t>
      </w:r>
      <w:r w:rsidR="00390978">
        <w:rPr>
          <w:rFonts w:eastAsia="SimSun" w:cs="Mangal"/>
          <w:kern w:val="1"/>
          <w:lang w:eastAsia="zh-CN" w:bidi="hi-IN"/>
        </w:rPr>
        <w:t>k</w:t>
      </w:r>
      <w:r w:rsidR="00B5194F">
        <w:rPr>
          <w:rFonts w:eastAsia="SimSun" w:cs="Mangal"/>
          <w:kern w:val="1"/>
          <w:lang w:eastAsia="zh-CN" w:bidi="hi-IN"/>
        </w:rPr>
        <w:t>i</w:t>
      </w:r>
      <w:r w:rsidR="00103FBD">
        <w:rPr>
          <w:rFonts w:eastAsia="SimSun" w:cs="Mangal"/>
          <w:kern w:val="1"/>
          <w:lang w:eastAsia="zh-CN" w:bidi="hi-IN"/>
        </w:rPr>
        <w:t xml:space="preserve">. Kuna meetme 16.4 raames antakse toetust </w:t>
      </w:r>
      <w:r w:rsidR="009A4DFF">
        <w:rPr>
          <w:rFonts w:eastAsia="SimSun" w:cs="Mangal"/>
          <w:kern w:val="1"/>
          <w:lang w:eastAsia="zh-CN" w:bidi="hi-IN"/>
        </w:rPr>
        <w:t xml:space="preserve">sellise </w:t>
      </w:r>
      <w:r w:rsidR="00103FBD">
        <w:rPr>
          <w:rFonts w:eastAsia="SimSun" w:cs="Mangal"/>
          <w:kern w:val="1"/>
          <w:lang w:eastAsia="zh-CN" w:bidi="hi-IN"/>
        </w:rPr>
        <w:t xml:space="preserve">projekti </w:t>
      </w:r>
      <w:r w:rsidR="00103FBD" w:rsidRPr="00103FBD">
        <w:rPr>
          <w:rFonts w:eastAsia="SimSun" w:cs="Mangal"/>
          <w:kern w:val="1"/>
          <w:lang w:eastAsia="zh-CN" w:bidi="hi-IN"/>
        </w:rPr>
        <w:t>elluviimiseks, mille eesmärk on lühikeste tarneahelate või kohalike turgude kaudu toodete turustamisvõimaluste arendamin</w:t>
      </w:r>
      <w:r w:rsidR="00103FBD">
        <w:rPr>
          <w:rFonts w:eastAsia="SimSun" w:cs="Mangal"/>
          <w:kern w:val="1"/>
          <w:lang w:eastAsia="zh-CN" w:bidi="hi-IN"/>
        </w:rPr>
        <w:t xml:space="preserve">e, siis suur osa projektide raames </w:t>
      </w:r>
      <w:r w:rsidR="00390978">
        <w:rPr>
          <w:rFonts w:eastAsia="SimSun" w:cs="Mangal"/>
          <w:kern w:val="1"/>
          <w:lang w:eastAsia="zh-CN" w:bidi="hi-IN"/>
        </w:rPr>
        <w:t>elluviidavatest</w:t>
      </w:r>
      <w:r w:rsidR="00103FBD">
        <w:rPr>
          <w:rFonts w:eastAsia="SimSun" w:cs="Mangal"/>
          <w:kern w:val="1"/>
          <w:lang w:eastAsia="zh-CN" w:bidi="hi-IN"/>
        </w:rPr>
        <w:t xml:space="preserve"> tegevustest on seotud eelkõige erinevate avalike ürituste korraldamise</w:t>
      </w:r>
      <w:r w:rsidR="00292FB6">
        <w:rPr>
          <w:rFonts w:eastAsia="SimSun" w:cs="Mangal"/>
          <w:kern w:val="1"/>
          <w:lang w:eastAsia="zh-CN" w:bidi="hi-IN"/>
        </w:rPr>
        <w:t>ga</w:t>
      </w:r>
      <w:r w:rsidR="00103FBD">
        <w:rPr>
          <w:rFonts w:eastAsia="SimSun" w:cs="Mangal"/>
          <w:kern w:val="1"/>
          <w:lang w:eastAsia="zh-CN" w:bidi="hi-IN"/>
        </w:rPr>
        <w:t xml:space="preserve"> ja </w:t>
      </w:r>
      <w:r w:rsidR="00292FB6">
        <w:rPr>
          <w:rFonts w:eastAsia="SimSun" w:cs="Mangal"/>
          <w:kern w:val="1"/>
          <w:lang w:eastAsia="zh-CN" w:bidi="hi-IN"/>
        </w:rPr>
        <w:t xml:space="preserve">samuti nendel </w:t>
      </w:r>
      <w:r w:rsidR="00103FBD">
        <w:rPr>
          <w:rFonts w:eastAsia="SimSun" w:cs="Mangal"/>
          <w:kern w:val="1"/>
          <w:lang w:eastAsia="zh-CN" w:bidi="hi-IN"/>
        </w:rPr>
        <w:t xml:space="preserve">osalemisega ehk projekti </w:t>
      </w:r>
      <w:r w:rsidR="00103FBD" w:rsidRPr="00103FBD">
        <w:rPr>
          <w:rFonts w:eastAsia="SimSun" w:cs="Mangal"/>
          <w:kern w:val="1"/>
          <w:lang w:eastAsia="zh-CN" w:bidi="hi-IN"/>
        </w:rPr>
        <w:t>t</w:t>
      </w:r>
      <w:r w:rsidR="00B906E0">
        <w:rPr>
          <w:rFonts w:eastAsia="SimSun" w:cs="Mangal"/>
          <w:kern w:val="1"/>
          <w:lang w:eastAsia="zh-CN" w:bidi="hi-IN"/>
        </w:rPr>
        <w:t>utvustava</w:t>
      </w:r>
      <w:r w:rsidR="00292FB6">
        <w:rPr>
          <w:rFonts w:eastAsia="SimSun" w:cs="Mangal"/>
          <w:kern w:val="1"/>
          <w:lang w:eastAsia="zh-CN" w:bidi="hi-IN"/>
        </w:rPr>
        <w:t>te</w:t>
      </w:r>
      <w:r w:rsidR="00B906E0">
        <w:rPr>
          <w:rFonts w:eastAsia="SimSun" w:cs="Mangal"/>
          <w:kern w:val="1"/>
          <w:lang w:eastAsia="zh-CN" w:bidi="hi-IN"/>
        </w:rPr>
        <w:t xml:space="preserve"> müügiedendustegevustega, millest suur osa jäi </w:t>
      </w:r>
      <w:r w:rsidR="00861F25">
        <w:rPr>
          <w:rFonts w:eastAsia="SimSun" w:cs="Mangal"/>
          <w:kern w:val="1"/>
          <w:lang w:eastAsia="zh-CN" w:bidi="hi-IN"/>
        </w:rPr>
        <w:t xml:space="preserve">2020. aasta </w:t>
      </w:r>
      <w:r w:rsidR="00B906E0">
        <w:rPr>
          <w:rFonts w:eastAsia="SimSun" w:cs="Mangal"/>
          <w:kern w:val="1"/>
          <w:lang w:eastAsia="zh-CN" w:bidi="hi-IN"/>
        </w:rPr>
        <w:t>märtsist kuni maini ära.</w:t>
      </w:r>
    </w:p>
    <w:p w14:paraId="7B67B893" w14:textId="7EE01B71" w:rsidR="00240443" w:rsidRDefault="00240443" w:rsidP="008A7519">
      <w:pPr>
        <w:autoSpaceDE/>
        <w:autoSpaceDN/>
        <w:jc w:val="both"/>
        <w:rPr>
          <w:rFonts w:eastAsia="SimSun" w:cs="Mangal"/>
          <w:kern w:val="1"/>
          <w:lang w:eastAsia="zh-CN" w:bidi="hi-IN"/>
        </w:rPr>
      </w:pPr>
    </w:p>
    <w:p w14:paraId="7689AAC5" w14:textId="133BE3A7" w:rsidR="00240443" w:rsidRPr="00103FBD" w:rsidRDefault="00240443" w:rsidP="008A7519">
      <w:pPr>
        <w:autoSpaceDE/>
        <w:autoSpaceDN/>
        <w:jc w:val="both"/>
        <w:rPr>
          <w:rFonts w:eastAsia="SimSun" w:cs="Mangal"/>
          <w:kern w:val="1"/>
          <w:lang w:eastAsia="zh-CN" w:bidi="hi-IN"/>
        </w:rPr>
      </w:pPr>
      <w:r w:rsidRPr="00DB4E08">
        <w:rPr>
          <w:rFonts w:eastAsia="SimSun" w:cs="Mangal"/>
          <w:kern w:val="1"/>
          <w:lang w:eastAsia="zh-CN" w:bidi="hi-IN"/>
        </w:rPr>
        <w:t xml:space="preserve">Eelnõu § 2 punktiga 2 täiendatakse määruse nr 3 § 19 lõikega 3, mille kohaselt loetakse eespool nimetatud toetuse saaja puhul taotluse rahuldamise otsuses määratud projekti elluviimise tähtaeg pikenenuks </w:t>
      </w:r>
      <w:r w:rsidR="005A52D9" w:rsidRPr="005A52D9">
        <w:rPr>
          <w:rFonts w:eastAsia="SimSun" w:cs="Mangal"/>
          <w:kern w:val="1"/>
          <w:lang w:eastAsia="zh-CN" w:bidi="hi-IN"/>
        </w:rPr>
        <w:t>2021. aasta 31. detsembrini</w:t>
      </w:r>
      <w:r w:rsidR="005A52D9">
        <w:rPr>
          <w:rFonts w:eastAsia="SimSun" w:cs="Mangal"/>
          <w:kern w:val="1"/>
          <w:lang w:eastAsia="zh-CN" w:bidi="hi-IN"/>
        </w:rPr>
        <w:t xml:space="preserve"> </w:t>
      </w:r>
      <w:r w:rsidRPr="00DB4E08">
        <w:rPr>
          <w:rFonts w:eastAsia="SimSun" w:cs="Mangal"/>
          <w:kern w:val="1"/>
          <w:lang w:eastAsia="zh-CN" w:bidi="hi-IN"/>
        </w:rPr>
        <w:t xml:space="preserve">ehk </w:t>
      </w:r>
      <w:r w:rsidR="00DB4E08" w:rsidRPr="004D52E6">
        <w:rPr>
          <w:rFonts w:eastAsia="SimSun" w:cs="Mangal"/>
          <w:kern w:val="1"/>
          <w:lang w:eastAsia="zh-CN" w:bidi="hi-IN"/>
        </w:rPr>
        <w:t>toetuse saaja võib viia</w:t>
      </w:r>
      <w:r w:rsidRPr="004D52E6">
        <w:rPr>
          <w:rFonts w:eastAsia="SimSun" w:cs="Mangal"/>
          <w:kern w:val="1"/>
          <w:lang w:eastAsia="zh-CN" w:bidi="hi-IN"/>
        </w:rPr>
        <w:t xml:space="preserve"> projektis kavandatud tegevused ellu </w:t>
      </w:r>
      <w:r w:rsidR="002F7C62">
        <w:rPr>
          <w:rFonts w:eastAsia="SimSun" w:cs="Mangal"/>
          <w:kern w:val="1"/>
          <w:lang w:eastAsia="zh-CN" w:bidi="hi-IN"/>
        </w:rPr>
        <w:t>ja</w:t>
      </w:r>
      <w:r w:rsidR="00DB4E08" w:rsidRPr="004D52E6">
        <w:rPr>
          <w:rFonts w:eastAsia="SimSun" w:cs="Mangal"/>
          <w:kern w:val="1"/>
          <w:lang w:eastAsia="zh-CN" w:bidi="hi-IN"/>
        </w:rPr>
        <w:t xml:space="preserve"> esitada projekti elluviimist tõendava</w:t>
      </w:r>
      <w:r w:rsidR="002F7C62">
        <w:rPr>
          <w:rFonts w:eastAsia="SimSun" w:cs="Mangal"/>
          <w:kern w:val="1"/>
          <w:lang w:eastAsia="zh-CN" w:bidi="hi-IN"/>
        </w:rPr>
        <w:t>d</w:t>
      </w:r>
      <w:r w:rsidR="00DB4E08" w:rsidRPr="004D52E6">
        <w:rPr>
          <w:rFonts w:eastAsia="SimSun" w:cs="Mangal"/>
          <w:kern w:val="1"/>
          <w:lang w:eastAsia="zh-CN" w:bidi="hi-IN"/>
        </w:rPr>
        <w:t xml:space="preserve"> dokumendid </w:t>
      </w:r>
      <w:r w:rsidR="002F7C62">
        <w:rPr>
          <w:rFonts w:eastAsia="SimSun" w:cs="Mangal"/>
          <w:kern w:val="1"/>
          <w:lang w:eastAsia="zh-CN" w:bidi="hi-IN"/>
        </w:rPr>
        <w:t>hiljemalt 2021. aasta 31.</w:t>
      </w:r>
      <w:r w:rsidR="008F640C">
        <w:rPr>
          <w:rFonts w:eastAsia="SimSun" w:cs="Mangal"/>
          <w:kern w:val="1"/>
          <w:lang w:eastAsia="zh-CN" w:bidi="hi-IN"/>
        </w:rPr>
        <w:t> </w:t>
      </w:r>
      <w:r w:rsidR="002F7C62">
        <w:rPr>
          <w:rFonts w:eastAsia="SimSun" w:cs="Mangal"/>
          <w:kern w:val="1"/>
          <w:lang w:eastAsia="zh-CN" w:bidi="hi-IN"/>
        </w:rPr>
        <w:t xml:space="preserve">detsembriks </w:t>
      </w:r>
      <w:r w:rsidRPr="004D52E6">
        <w:rPr>
          <w:rFonts w:eastAsia="SimSun" w:cs="Mangal"/>
          <w:kern w:val="1"/>
          <w:lang w:eastAsia="zh-CN" w:bidi="hi-IN"/>
        </w:rPr>
        <w:t>arvates PRIA poolt taotluse rahulda</w:t>
      </w:r>
      <w:r w:rsidR="00DB4E08" w:rsidRPr="004D52E6">
        <w:rPr>
          <w:rFonts w:eastAsia="SimSun" w:cs="Mangal"/>
          <w:kern w:val="1"/>
          <w:lang w:eastAsia="zh-CN" w:bidi="hi-IN"/>
        </w:rPr>
        <w:t>mise otsuse tegemisest.</w:t>
      </w:r>
      <w:r w:rsidR="00DB4E08" w:rsidRPr="00DB4E08">
        <w:rPr>
          <w:rFonts w:eastAsia="SimSun" w:cs="Mangal"/>
          <w:kern w:val="1"/>
          <w:lang w:eastAsia="zh-CN" w:bidi="hi-IN"/>
        </w:rPr>
        <w:t xml:space="preserve"> Projekti</w:t>
      </w:r>
      <w:r w:rsidRPr="00DB4E08">
        <w:rPr>
          <w:rFonts w:eastAsia="SimSun" w:cs="Mangal"/>
          <w:kern w:val="1"/>
          <w:lang w:eastAsia="zh-CN" w:bidi="hi-IN"/>
        </w:rPr>
        <w:t xml:space="preserve"> elluvi</w:t>
      </w:r>
      <w:r w:rsidR="00DB4E08" w:rsidRPr="00DB4E08">
        <w:rPr>
          <w:rFonts w:eastAsia="SimSun" w:cs="Mangal"/>
          <w:kern w:val="1"/>
          <w:lang w:eastAsia="zh-CN" w:bidi="hi-IN"/>
        </w:rPr>
        <w:t>imise</w:t>
      </w:r>
      <w:r w:rsidRPr="00DB4E08">
        <w:rPr>
          <w:rFonts w:eastAsia="SimSun" w:cs="Mangal"/>
          <w:kern w:val="1"/>
          <w:lang w:eastAsia="zh-CN" w:bidi="hi-IN"/>
        </w:rPr>
        <w:t xml:space="preserve"> tähtaeg on toetuse taotluse rahuldamise otsuse üks osa, mida eelnõu kohaselt pikendatakse kõigile toetuse saajatele ühetaoliselt. Muudatuse tõttu võib tekkida õiguslik ebaselgus määrusega võimaldatud pikema tähtaja ja haldusaktiga iga toetuse saaja jaoks kindlaks määratud toetuse elluviimise tingimuste vahel. Selleks, et vältida tarbetut töökoormust, mida tooks kaasa õigusselguse tagamiseks kõikide haldusaktide muutmine, on probleem lahendatud õigusnormi abil, mis loeb tähtaja pikenenuks ka haldusaktides.</w:t>
      </w:r>
    </w:p>
    <w:p w14:paraId="509BFDDF" w14:textId="348A24D4" w:rsidR="00EA2286" w:rsidRDefault="00EA2286" w:rsidP="00A535E7">
      <w:pPr>
        <w:jc w:val="both"/>
        <w:rPr>
          <w:b/>
          <w:bCs/>
        </w:rPr>
      </w:pPr>
    </w:p>
    <w:p w14:paraId="32B39A81" w14:textId="47D790A0" w:rsidR="0038559C" w:rsidRPr="0038559C" w:rsidRDefault="00C81B43" w:rsidP="00A535E7">
      <w:pPr>
        <w:jc w:val="both"/>
        <w:rPr>
          <w:bCs/>
        </w:rPr>
      </w:pPr>
      <w:r>
        <w:rPr>
          <w:bCs/>
        </w:rPr>
        <w:t>E</w:t>
      </w:r>
      <w:r w:rsidRPr="00C81B43">
        <w:rPr>
          <w:bCs/>
        </w:rPr>
        <w:t>elnõu § 2 punktiga 2</w:t>
      </w:r>
      <w:r>
        <w:rPr>
          <w:bCs/>
        </w:rPr>
        <w:t xml:space="preserve"> </w:t>
      </w:r>
      <w:r w:rsidR="00B906E0">
        <w:rPr>
          <w:bCs/>
        </w:rPr>
        <w:t xml:space="preserve">täiendatakse määruse nr 3 § 19 </w:t>
      </w:r>
      <w:r w:rsidR="0038559C">
        <w:rPr>
          <w:bCs/>
        </w:rPr>
        <w:t xml:space="preserve">lõikega </w:t>
      </w:r>
      <w:r w:rsidR="004B3937">
        <w:rPr>
          <w:bCs/>
        </w:rPr>
        <w:t>4</w:t>
      </w:r>
      <w:r w:rsidR="0038559C">
        <w:rPr>
          <w:bCs/>
        </w:rPr>
        <w:t xml:space="preserve">, mille </w:t>
      </w:r>
      <w:r w:rsidR="00B906E0">
        <w:rPr>
          <w:bCs/>
        </w:rPr>
        <w:t>järgi kohaldatakse § 19 lõiget 2</w:t>
      </w:r>
      <w:r w:rsidR="0038559C">
        <w:rPr>
          <w:bCs/>
        </w:rPr>
        <w:t xml:space="preserve"> alates 2020. aasta 31</w:t>
      </w:r>
      <w:r w:rsidR="0038559C" w:rsidRPr="0038559C">
        <w:rPr>
          <w:bCs/>
        </w:rPr>
        <w:t xml:space="preserve">. </w:t>
      </w:r>
      <w:r w:rsidR="0038559C">
        <w:rPr>
          <w:bCs/>
        </w:rPr>
        <w:t>detsembrist</w:t>
      </w:r>
      <w:r w:rsidR="0038559C" w:rsidRPr="0038559C">
        <w:rPr>
          <w:bCs/>
        </w:rPr>
        <w:t xml:space="preserve"> nende toetuse saajate puhul, </w:t>
      </w:r>
      <w:r w:rsidR="0038559C" w:rsidRPr="00627B5D">
        <w:rPr>
          <w:bCs/>
        </w:rPr>
        <w:t xml:space="preserve">kes </w:t>
      </w:r>
      <w:r w:rsidR="009A4DFF">
        <w:rPr>
          <w:bCs/>
        </w:rPr>
        <w:t xml:space="preserve">on </w:t>
      </w:r>
      <w:r w:rsidR="0038559C" w:rsidRPr="00627B5D">
        <w:rPr>
          <w:bCs/>
        </w:rPr>
        <w:t>projekti elluviimise tähtajaks märkinud 2020. aasta lõpu,</w:t>
      </w:r>
      <w:r w:rsidR="0038559C" w:rsidRPr="0038559C">
        <w:rPr>
          <w:bCs/>
        </w:rPr>
        <w:t xml:space="preserve"> sest ka nende puhul on põhjendatud võimaldada </w:t>
      </w:r>
      <w:r w:rsidR="000B7AAF">
        <w:rPr>
          <w:bCs/>
        </w:rPr>
        <w:t xml:space="preserve">projektis </w:t>
      </w:r>
      <w:r w:rsidR="0038559C" w:rsidRPr="0038559C">
        <w:rPr>
          <w:bCs/>
        </w:rPr>
        <w:t>kavandatud tegevused lõpuni ellu viia. Säte toob kaasa isiku õiguste laienemise ja sellega ei rikuta õiguskindluse põhimõtet.</w:t>
      </w:r>
    </w:p>
    <w:p w14:paraId="352A4BDD" w14:textId="77777777" w:rsidR="0038559C" w:rsidRDefault="0038559C" w:rsidP="00A535E7">
      <w:pPr>
        <w:jc w:val="both"/>
        <w:rPr>
          <w:b/>
          <w:bCs/>
        </w:rPr>
      </w:pPr>
    </w:p>
    <w:p w14:paraId="13C5803A" w14:textId="77777777" w:rsidR="00A535E7" w:rsidRDefault="00A535E7" w:rsidP="00A535E7">
      <w:pPr>
        <w:jc w:val="both"/>
        <w:rPr>
          <w:b/>
          <w:bCs/>
        </w:rPr>
      </w:pPr>
      <w:r>
        <w:rPr>
          <w:b/>
          <w:bCs/>
        </w:rPr>
        <w:t>3. Eelnõu vastavus Euroopa Liidu õigusele</w:t>
      </w:r>
    </w:p>
    <w:p w14:paraId="1AD4EA9E" w14:textId="77777777" w:rsidR="00A535E7" w:rsidRPr="0008434D" w:rsidRDefault="00A535E7" w:rsidP="00A535E7">
      <w:pPr>
        <w:jc w:val="both"/>
        <w:rPr>
          <w:bCs/>
        </w:rPr>
      </w:pPr>
    </w:p>
    <w:p w14:paraId="3A5B8315" w14:textId="2768F749" w:rsidR="0008434D" w:rsidRPr="0008434D" w:rsidRDefault="0008434D" w:rsidP="0008434D">
      <w:pPr>
        <w:pStyle w:val="Default"/>
        <w:jc w:val="both"/>
        <w:rPr>
          <w:rFonts w:ascii="Times New Roman" w:hAnsi="Times New Roman" w:cs="Times New Roman"/>
          <w:bCs/>
        </w:rPr>
      </w:pPr>
      <w:r w:rsidRPr="0008434D">
        <w:rPr>
          <w:rFonts w:ascii="Times New Roman" w:hAnsi="Times New Roman" w:cs="Times New Roman"/>
          <w:bCs/>
        </w:rPr>
        <w:t>Eelnõu väljatöötamisel võeti aluseks Euroopa Parlamendi ja nõukogu määrus (EL) nr</w:t>
      </w:r>
      <w:r w:rsidR="00861F25">
        <w:rPr>
          <w:rFonts w:ascii="Times New Roman" w:hAnsi="Times New Roman" w:cs="Times New Roman"/>
          <w:bCs/>
        </w:rPr>
        <w:t> </w:t>
      </w:r>
      <w:r w:rsidRPr="0008434D">
        <w:rPr>
          <w:rFonts w:ascii="Times New Roman" w:hAnsi="Times New Roman" w:cs="Times New Roman"/>
          <w:bCs/>
        </w:rPr>
        <w:t xml:space="preserve">1303/2013, millega kehtestatakse ühissätted Euroopa Regionaalarengu Fondi, Euroopa Sotsiaalfondi, Ühtekuuluvusfondi, Euroopa Maaelu Arengu Euroopa Põllumajandusfondi ning Euroopa Merendus- ja Kalandusfondi kohta, nähakse ette üldsätted Euroopa Regionaalarengu Fondi, Euroopa Sotsiaalfondi, Ühtekuuluvusfondi ja Euroopa Merendus- ja Kalandusfondi </w:t>
      </w:r>
      <w:r w:rsidRPr="0008434D">
        <w:rPr>
          <w:rFonts w:ascii="Times New Roman" w:hAnsi="Times New Roman" w:cs="Times New Roman"/>
          <w:bCs/>
        </w:rPr>
        <w:lastRenderedPageBreak/>
        <w:t>kohta ning tunnistatakse kehtetuks nõukogu määrus (EÜ) nr 1083/2006 (ELT L 347</w:t>
      </w:r>
      <w:r w:rsidR="00A339A5">
        <w:rPr>
          <w:rFonts w:ascii="Times New Roman" w:hAnsi="Times New Roman" w:cs="Times New Roman"/>
          <w:bCs/>
        </w:rPr>
        <w:t xml:space="preserve">, 20.12.2013, lk 320–469), </w:t>
      </w:r>
      <w:r w:rsidRPr="0008434D">
        <w:rPr>
          <w:rFonts w:ascii="Times New Roman" w:hAnsi="Times New Roman" w:cs="Times New Roman"/>
          <w:bCs/>
        </w:rPr>
        <w:t>Euroopa Parlamendi ja nõukogu määrus (EL) nr 1305/2013 Euroopa Maaelu Arengu Põllumajandusfondist (EAFRD) antavate maaelu arengu toetuste kohta ja millega tunnistatakse kehtetuks nõukogu määrus (EÜ) nr 1698/2005 (ELT L 347, 20.12.2013, lk 487–548)</w:t>
      </w:r>
      <w:r w:rsidR="00A339A5">
        <w:rPr>
          <w:rFonts w:ascii="Times New Roman" w:hAnsi="Times New Roman" w:cs="Times New Roman"/>
          <w:bCs/>
        </w:rPr>
        <w:t xml:space="preserve">, ning </w:t>
      </w:r>
      <w:r w:rsidR="00A339A5" w:rsidRPr="00A339A5">
        <w:rPr>
          <w:rFonts w:ascii="Times New Roman" w:hAnsi="Times New Roman" w:cs="Times New Roman"/>
          <w:bCs/>
        </w:rPr>
        <w:t xml:space="preserve">Euroopa Parlamendi ja nõukogu määrus (EL) 2020/2220, millega kehtestatakse teatavad üleminekusätted Euroopa Maaelu Arengu Põllumajandusfondi (EAFRD) ja Euroopa Põllumajanduse Tagatisfondi (EAGF) toetuse kohta 2021. ja 2022. aastal ning muudetakse määrusi (EL) nr 1305/2013, (EL) nr 1306/2013 ning (EL) nr 1307/2013 seoses 2021. ja 2022. aastal eraldatavate vahendite ja nende määruste kohaldamisega ning määrust (EL) nr 1308/2013 seoses 2021. ja 2022. aastal eraldatavate vahendite ja sellise toetuse jaotamisega </w:t>
      </w:r>
      <w:r w:rsidR="00A339A5">
        <w:rPr>
          <w:rFonts w:ascii="Times New Roman" w:hAnsi="Times New Roman" w:cs="Times New Roman"/>
          <w:bCs/>
        </w:rPr>
        <w:t>(ELT L 437, 28.12.2020, lk 1–29)</w:t>
      </w:r>
      <w:r w:rsidRPr="0008434D">
        <w:rPr>
          <w:rFonts w:ascii="Times New Roman" w:hAnsi="Times New Roman" w:cs="Times New Roman"/>
          <w:bCs/>
        </w:rPr>
        <w:t xml:space="preserve">. </w:t>
      </w:r>
    </w:p>
    <w:p w14:paraId="63C090D9" w14:textId="77777777" w:rsidR="0008434D" w:rsidRPr="0008434D" w:rsidRDefault="0008434D" w:rsidP="0008434D">
      <w:pPr>
        <w:pStyle w:val="Default"/>
        <w:jc w:val="both"/>
        <w:rPr>
          <w:rFonts w:ascii="Times New Roman" w:hAnsi="Times New Roman" w:cs="Times New Roman"/>
          <w:bCs/>
        </w:rPr>
      </w:pPr>
    </w:p>
    <w:p w14:paraId="40811DA0" w14:textId="6D81B4F6" w:rsidR="00A535E7" w:rsidRPr="0008434D" w:rsidRDefault="0008434D" w:rsidP="0008434D">
      <w:pPr>
        <w:pStyle w:val="Default"/>
        <w:jc w:val="both"/>
        <w:rPr>
          <w:rFonts w:ascii="Times New Roman" w:hAnsi="Times New Roman" w:cs="Times New Roman"/>
          <w:bCs/>
        </w:rPr>
      </w:pPr>
      <w:r w:rsidRPr="0008434D">
        <w:rPr>
          <w:rFonts w:ascii="Times New Roman" w:hAnsi="Times New Roman" w:cs="Times New Roman"/>
          <w:bCs/>
        </w:rPr>
        <w:t>Eelnõus nimetatud Euroopa Liidu õigusaktid on kättesaadavad Euroopa Liidu Teataja veebilehel http://eur-lex.europa.eu.</w:t>
      </w:r>
    </w:p>
    <w:p w14:paraId="424CFACC" w14:textId="77777777" w:rsidR="0008434D" w:rsidRDefault="0008434D" w:rsidP="00A535E7">
      <w:pPr>
        <w:pStyle w:val="Default"/>
        <w:jc w:val="both"/>
        <w:rPr>
          <w:b/>
          <w:bCs/>
        </w:rPr>
      </w:pPr>
    </w:p>
    <w:p w14:paraId="345A59D1" w14:textId="77777777" w:rsidR="00A535E7" w:rsidRDefault="00A535E7" w:rsidP="00A535E7">
      <w:pPr>
        <w:jc w:val="both"/>
        <w:rPr>
          <w:b/>
          <w:bCs/>
        </w:rPr>
      </w:pPr>
      <w:r>
        <w:rPr>
          <w:b/>
          <w:bCs/>
        </w:rPr>
        <w:t>4. Määruse mõjud</w:t>
      </w:r>
    </w:p>
    <w:p w14:paraId="093486D6" w14:textId="77777777" w:rsidR="00A535E7" w:rsidRDefault="00A535E7" w:rsidP="00A535E7">
      <w:pPr>
        <w:jc w:val="both"/>
        <w:rPr>
          <w:b/>
          <w:bCs/>
        </w:rPr>
      </w:pPr>
    </w:p>
    <w:p w14:paraId="3F258666" w14:textId="0D4A778D" w:rsidR="004903BC" w:rsidRDefault="00B906E0" w:rsidP="00AC1C04">
      <w:pPr>
        <w:jc w:val="both"/>
      </w:pPr>
      <w:r>
        <w:rPr>
          <w:bCs/>
        </w:rPr>
        <w:t>Määrusega</w:t>
      </w:r>
      <w:r w:rsidR="00015D7A">
        <w:rPr>
          <w:bCs/>
        </w:rPr>
        <w:t xml:space="preserve"> pikendatakse osa toetuse saajate toetatavate tegevuste elluviimise tähtaega</w:t>
      </w:r>
      <w:r w:rsidR="00D5449C">
        <w:rPr>
          <w:bCs/>
        </w:rPr>
        <w:t>, mis annab neile paindlikumad võimalused kavandatud tegevuste elluviimiseks</w:t>
      </w:r>
      <w:r w:rsidR="00015D7A">
        <w:rPr>
          <w:bCs/>
        </w:rPr>
        <w:t>. Nimetatud muudatus</w:t>
      </w:r>
      <w:r w:rsidR="004600F3">
        <w:rPr>
          <w:bCs/>
        </w:rPr>
        <w:t>el</w:t>
      </w:r>
      <w:r w:rsidR="00015D7A">
        <w:rPr>
          <w:bCs/>
        </w:rPr>
        <w:t xml:space="preserve"> </w:t>
      </w:r>
      <w:r w:rsidR="00FC2ECA">
        <w:rPr>
          <w:bCs/>
        </w:rPr>
        <w:t>on</w:t>
      </w:r>
      <w:r w:rsidR="00015D7A">
        <w:rPr>
          <w:bCs/>
        </w:rPr>
        <w:t xml:space="preserve"> toetuse saajatele positiiv</w:t>
      </w:r>
      <w:r w:rsidR="004600F3">
        <w:rPr>
          <w:bCs/>
        </w:rPr>
        <w:t>ne</w:t>
      </w:r>
      <w:r w:rsidR="00015D7A">
        <w:rPr>
          <w:bCs/>
        </w:rPr>
        <w:t xml:space="preserve"> mõju, kuna </w:t>
      </w:r>
      <w:r w:rsidR="00861F25">
        <w:rPr>
          <w:bCs/>
        </w:rPr>
        <w:t xml:space="preserve">see </w:t>
      </w:r>
      <w:r w:rsidR="00015D7A">
        <w:rPr>
          <w:bCs/>
        </w:rPr>
        <w:t xml:space="preserve">võimaldab neil kavandatud tegevused </w:t>
      </w:r>
      <w:r w:rsidR="00B5194F">
        <w:rPr>
          <w:bCs/>
        </w:rPr>
        <w:t>lõpetada</w:t>
      </w:r>
      <w:r w:rsidR="00F31C27">
        <w:rPr>
          <w:bCs/>
        </w:rPr>
        <w:t>.</w:t>
      </w:r>
    </w:p>
    <w:p w14:paraId="1DA1DBE9" w14:textId="3A19184E" w:rsidR="004903BC" w:rsidRDefault="004903BC" w:rsidP="00A535E7">
      <w:pPr>
        <w:jc w:val="both"/>
      </w:pPr>
    </w:p>
    <w:p w14:paraId="14918B8C" w14:textId="5C45D321" w:rsidR="00B906E0" w:rsidRDefault="00B906E0" w:rsidP="00B906E0">
      <w:pPr>
        <w:jc w:val="both"/>
      </w:pPr>
      <w:r>
        <w:t>Meetme 4.2.2 puhul mõjutab toetatava tegevuse e</w:t>
      </w:r>
      <w:r w:rsidR="000436C6">
        <w:t xml:space="preserve">lluviimise tähtaja </w:t>
      </w:r>
      <w:r w:rsidR="008233AC">
        <w:t>pikendamine</w:t>
      </w:r>
      <w:r w:rsidR="000436C6">
        <w:t xml:space="preserve"> kaheksat</w:t>
      </w:r>
      <w:r w:rsidR="008270DB">
        <w:t> </w:t>
      </w:r>
      <w:r w:rsidR="000436C6">
        <w:t xml:space="preserve">toetuse saajat. </w:t>
      </w:r>
      <w:r w:rsidR="00EF0F47">
        <w:t>Neljandas</w:t>
      </w:r>
      <w:r>
        <w:t xml:space="preserve"> taot</w:t>
      </w:r>
      <w:r w:rsidR="000436C6">
        <w:t>lusvoorus määrati toetus üheksale</w:t>
      </w:r>
      <w:r>
        <w:t xml:space="preserve"> </w:t>
      </w:r>
      <w:r w:rsidR="000436C6">
        <w:t xml:space="preserve">ettevõtjale kogusummas 2 778 228 eurot, millest </w:t>
      </w:r>
      <w:r w:rsidR="00F30EC5">
        <w:t>25,5</w:t>
      </w:r>
      <w:r w:rsidR="000436C6">
        <w:t>% (708 159</w:t>
      </w:r>
      <w:r>
        <w:t xml:space="preserve"> eurot) on</w:t>
      </w:r>
      <w:r w:rsidR="000436C6">
        <w:t xml:space="preserve"> välja makstud. </w:t>
      </w:r>
      <w:r w:rsidR="008233AC">
        <w:t>Nendele t</w:t>
      </w:r>
      <w:r w:rsidR="000436C6">
        <w:t>oetuse saajatele</w:t>
      </w:r>
      <w:r>
        <w:t>, kellel on kavandatud tegevuste elluviimine pooleli</w:t>
      </w:r>
      <w:r w:rsidR="00D56C6D">
        <w:t xml:space="preserve">, määrati toetust </w:t>
      </w:r>
      <w:r w:rsidR="008233AC">
        <w:t>kogu</w:t>
      </w:r>
      <w:r w:rsidR="00D56C6D">
        <w:t xml:space="preserve">summas </w:t>
      </w:r>
      <w:r w:rsidR="006F2CD3" w:rsidRPr="006F2CD3">
        <w:t>2</w:t>
      </w:r>
      <w:r w:rsidR="008270DB">
        <w:t> </w:t>
      </w:r>
      <w:r w:rsidR="006F2CD3" w:rsidRPr="006F2CD3">
        <w:t xml:space="preserve">560 390 </w:t>
      </w:r>
      <w:r w:rsidR="00D56C6D">
        <w:t xml:space="preserve">eurot, millest </w:t>
      </w:r>
      <w:r w:rsidR="00F30EC5">
        <w:t>19,2</w:t>
      </w:r>
      <w:r w:rsidR="006F2CD3">
        <w:t>% (490 321</w:t>
      </w:r>
      <w:r>
        <w:t xml:space="preserve"> eurot) on välja makstud.</w:t>
      </w:r>
    </w:p>
    <w:p w14:paraId="23B568F2" w14:textId="4F5C622A" w:rsidR="00D56C6D" w:rsidRDefault="00D56C6D" w:rsidP="00B906E0">
      <w:pPr>
        <w:jc w:val="both"/>
      </w:pPr>
    </w:p>
    <w:p w14:paraId="262ECDEF" w14:textId="68D83F0A" w:rsidR="00D56C6D" w:rsidRDefault="006F2CD3" w:rsidP="00B906E0">
      <w:pPr>
        <w:jc w:val="both"/>
      </w:pPr>
      <w:r>
        <w:t>Meetme 4.2.3</w:t>
      </w:r>
      <w:r w:rsidR="00D56C6D" w:rsidRPr="00D56C6D">
        <w:t xml:space="preserve"> puhul mõjutab toetatava tegevuse elluviimise tähtaja </w:t>
      </w:r>
      <w:r w:rsidR="008233AC">
        <w:t>pikendamine</w:t>
      </w:r>
      <w:r>
        <w:t xml:space="preserve"> kaht toetuse saajat. </w:t>
      </w:r>
      <w:r w:rsidR="008233AC">
        <w:t>Kolmandas</w:t>
      </w:r>
      <w:r w:rsidR="00D56C6D" w:rsidRPr="00D56C6D">
        <w:t xml:space="preserve"> taotl</w:t>
      </w:r>
      <w:r>
        <w:t>usvoorus määrati toetus kolmele</w:t>
      </w:r>
      <w:r w:rsidR="00D147ED">
        <w:t xml:space="preserve"> ettevõtjale kogusummas 2</w:t>
      </w:r>
      <w:r w:rsidR="008270DB">
        <w:t> </w:t>
      </w:r>
      <w:r w:rsidR="00D147ED">
        <w:t>974</w:t>
      </w:r>
      <w:r w:rsidR="008270DB">
        <w:t> </w:t>
      </w:r>
      <w:r w:rsidR="00D147ED">
        <w:t>039</w:t>
      </w:r>
      <w:r w:rsidR="008270DB">
        <w:t> </w:t>
      </w:r>
      <w:r w:rsidR="00F30EC5">
        <w:t>eurot, millest 22</w:t>
      </w:r>
      <w:r w:rsidR="00D147ED">
        <w:t>% (653 240</w:t>
      </w:r>
      <w:r w:rsidR="00D56C6D" w:rsidRPr="00D56C6D">
        <w:t xml:space="preserve"> eurot) on välja makstud. </w:t>
      </w:r>
      <w:r w:rsidR="008233AC">
        <w:t>N</w:t>
      </w:r>
      <w:r w:rsidR="006537AC">
        <w:t>endele</w:t>
      </w:r>
      <w:r w:rsidR="008233AC">
        <w:t xml:space="preserve"> t</w:t>
      </w:r>
      <w:r w:rsidR="00D56C6D" w:rsidRPr="00D56C6D">
        <w:t>oetuse saajatele, kellel on kavandatud tegevuste elluviimine po</w:t>
      </w:r>
      <w:r>
        <w:t xml:space="preserve">oleli, määrati toetust </w:t>
      </w:r>
      <w:r w:rsidR="008233AC">
        <w:t>kogu</w:t>
      </w:r>
      <w:r>
        <w:t>summas 2 </w:t>
      </w:r>
      <w:r w:rsidR="00D147ED">
        <w:t>320</w:t>
      </w:r>
      <w:r w:rsidR="008270DB">
        <w:t> </w:t>
      </w:r>
      <w:r w:rsidR="00D147ED">
        <w:t>799</w:t>
      </w:r>
      <w:r w:rsidR="008270DB">
        <w:t> </w:t>
      </w:r>
      <w:r w:rsidR="00D147ED">
        <w:t>eurot, mida veel ei ole välja makstud.</w:t>
      </w:r>
    </w:p>
    <w:p w14:paraId="55A1D6A1" w14:textId="2E697D5F" w:rsidR="006F2CD3" w:rsidRDefault="006F2CD3" w:rsidP="00B906E0">
      <w:pPr>
        <w:jc w:val="both"/>
      </w:pPr>
    </w:p>
    <w:p w14:paraId="1FFB7CCE" w14:textId="0EFE8E11" w:rsidR="006F2CD3" w:rsidRDefault="006F2CD3" w:rsidP="00B906E0">
      <w:pPr>
        <w:jc w:val="both"/>
      </w:pPr>
      <w:r>
        <w:t xml:space="preserve">Meetme 16.4 puhul mõjutab projekti elluviimise tähtaja pikendamine </w:t>
      </w:r>
      <w:r w:rsidR="00D147ED">
        <w:t xml:space="preserve">viit toetuse saajat. </w:t>
      </w:r>
      <w:r w:rsidR="008233AC">
        <w:t>Esimeses</w:t>
      </w:r>
      <w:r w:rsidR="00D147ED">
        <w:t xml:space="preserve"> taotlusvoorus määrati toetus üheksale taotlejale kogusummas 1 344 600 eurot, millest </w:t>
      </w:r>
      <w:r w:rsidR="00F30EC5">
        <w:t>61,7</w:t>
      </w:r>
      <w:r w:rsidR="00D147ED">
        <w:t xml:space="preserve">% (829 872 eurot) on välja makstud. </w:t>
      </w:r>
      <w:r w:rsidR="008233AC">
        <w:t>Nendele t</w:t>
      </w:r>
      <w:r w:rsidR="00D147ED" w:rsidRPr="00D147ED">
        <w:t xml:space="preserve">oetuse saajatele, kellel on </w:t>
      </w:r>
      <w:r w:rsidR="00A4136F">
        <w:t>projektis</w:t>
      </w:r>
      <w:r w:rsidR="00390978">
        <w:t xml:space="preserve"> </w:t>
      </w:r>
      <w:r w:rsidR="00D147ED" w:rsidRPr="00D147ED">
        <w:t>kavandatud tegevuste elluviimine pooleli, m</w:t>
      </w:r>
      <w:r w:rsidR="00F84DB9">
        <w:t xml:space="preserve">äärati toetust </w:t>
      </w:r>
      <w:r w:rsidR="008233AC">
        <w:t>kogu</w:t>
      </w:r>
      <w:r w:rsidR="00F84DB9">
        <w:t>summas 933 420</w:t>
      </w:r>
      <w:r w:rsidR="00F30EC5">
        <w:t xml:space="preserve"> eurot, millest 57,8</w:t>
      </w:r>
      <w:r w:rsidR="00F84DB9">
        <w:t>% (539</w:t>
      </w:r>
      <w:r w:rsidR="00627EFF">
        <w:t> </w:t>
      </w:r>
      <w:r w:rsidR="00F84DB9">
        <w:t>541</w:t>
      </w:r>
      <w:r w:rsidR="00627EFF">
        <w:t xml:space="preserve"> </w:t>
      </w:r>
      <w:r w:rsidR="00D147ED" w:rsidRPr="00D147ED">
        <w:t>eurot) on välja makstud.</w:t>
      </w:r>
    </w:p>
    <w:p w14:paraId="2EA34829" w14:textId="77777777" w:rsidR="00B906E0" w:rsidRDefault="00B906E0" w:rsidP="00B906E0">
      <w:pPr>
        <w:jc w:val="both"/>
      </w:pPr>
    </w:p>
    <w:p w14:paraId="2ED8C792" w14:textId="0ACF5386" w:rsidR="00865D4A" w:rsidRPr="00D11E60" w:rsidRDefault="00865D4A" w:rsidP="00865D4A">
      <w:pPr>
        <w:jc w:val="both"/>
        <w:rPr>
          <w:bCs/>
        </w:rPr>
      </w:pPr>
      <w:r>
        <w:t xml:space="preserve">Muudatus toob kaasa PRIA töökoormuse kasvu, sest maksetaotluste menetlusperiood pikeneb. Samas, kuna muudatus puudutab väheseid toetuse saajaid </w:t>
      </w:r>
      <w:r w:rsidR="008270DB">
        <w:t>ja</w:t>
      </w:r>
      <w:r>
        <w:t xml:space="preserve"> menetlustoimingud, mida tuleb pikendatud ajavahemikul teha, ei ole oma iseloomult uued, siis võib hinnata muudatuse mõju pigem vähemoluliseks. </w:t>
      </w:r>
    </w:p>
    <w:p w14:paraId="0B4F7A2C" w14:textId="77777777" w:rsidR="00865D4A" w:rsidRDefault="00865D4A" w:rsidP="00B906E0">
      <w:pPr>
        <w:jc w:val="both"/>
      </w:pPr>
    </w:p>
    <w:p w14:paraId="6FC628FF" w14:textId="3109E5D1" w:rsidR="00B906E0" w:rsidRDefault="00B906E0" w:rsidP="00B906E0">
      <w:pPr>
        <w:jc w:val="both"/>
      </w:pPr>
      <w:r>
        <w:t>Toetatava tegevuse elluviimise tähtaja pikendamine võimaldab saavutada toetuse eesmärgid ning tagada sellega toetusraha parema ja täielikuma ärakasutamise. Muudatusega väheneb tõenäoliselt võimalike sanktsioneerimiste arv, kuna neil toetuse saajatel, kes ei olnud saanud kavandatud tegevusi täielikult ellu viia, on võimalus seda nüüd teha</w:t>
      </w:r>
      <w:r w:rsidR="00701E60">
        <w:t xml:space="preserve"> </w:t>
      </w:r>
      <w:r w:rsidR="00701E60" w:rsidRPr="00701E60">
        <w:t xml:space="preserve">ja võtta </w:t>
      </w:r>
      <w:r w:rsidR="00701E60" w:rsidRPr="00701E60">
        <w:lastRenderedPageBreak/>
        <w:t>investeeringuobjekt sihtotstarbeliselt kasutusse</w:t>
      </w:r>
      <w:r w:rsidR="00865D4A">
        <w:t>.</w:t>
      </w:r>
      <w:r w:rsidR="00EB242C" w:rsidRPr="00EB242C">
        <w:t xml:space="preserve"> Toetuse saaja halduskoormus tehtavate muudatuste tõttu ei suurene.</w:t>
      </w:r>
    </w:p>
    <w:p w14:paraId="41F7A7E6" w14:textId="10FC5F4C" w:rsidR="00D11E60" w:rsidRDefault="00D11E60" w:rsidP="00A535E7">
      <w:pPr>
        <w:jc w:val="both"/>
        <w:rPr>
          <w:b/>
          <w:bCs/>
        </w:rPr>
      </w:pPr>
    </w:p>
    <w:p w14:paraId="54F0F041" w14:textId="77777777" w:rsidR="00A535E7" w:rsidRDefault="00A535E7" w:rsidP="00A535E7">
      <w:pPr>
        <w:jc w:val="both"/>
        <w:rPr>
          <w:b/>
          <w:bCs/>
        </w:rPr>
      </w:pPr>
      <w:r>
        <w:rPr>
          <w:b/>
          <w:bCs/>
        </w:rPr>
        <w:t>5. Määruse rakendamisega seotud tegevused, vajalikud kulud ja määruse rakendamise eeldatavad tulud</w:t>
      </w:r>
    </w:p>
    <w:p w14:paraId="3A3DD551" w14:textId="77777777" w:rsidR="00A535E7" w:rsidRDefault="00A535E7" w:rsidP="00A535E7">
      <w:pPr>
        <w:jc w:val="both"/>
        <w:rPr>
          <w:b/>
          <w:bCs/>
        </w:rPr>
      </w:pPr>
    </w:p>
    <w:p w14:paraId="712D46E2" w14:textId="3B78D30E" w:rsidR="0040637C" w:rsidRDefault="0040637C" w:rsidP="00A535E7">
      <w:pPr>
        <w:overflowPunct w:val="0"/>
        <w:adjustRightInd w:val="0"/>
        <w:jc w:val="both"/>
        <w:textAlignment w:val="baseline"/>
      </w:pPr>
      <w:r>
        <w:t xml:space="preserve">Määruse rakendamisega </w:t>
      </w:r>
      <w:r w:rsidR="006F49F8">
        <w:t xml:space="preserve">ei kaasne </w:t>
      </w:r>
      <w:r w:rsidR="00540F82">
        <w:t>lisa</w:t>
      </w:r>
      <w:r>
        <w:t xml:space="preserve">kulusid </w:t>
      </w:r>
      <w:r w:rsidR="00540F82">
        <w:t>ega -</w:t>
      </w:r>
      <w:r>
        <w:t>tulusid.</w:t>
      </w:r>
    </w:p>
    <w:p w14:paraId="710550B9" w14:textId="77777777" w:rsidR="00A535E7" w:rsidRDefault="00A535E7" w:rsidP="00A535E7">
      <w:pPr>
        <w:jc w:val="both"/>
        <w:rPr>
          <w:b/>
          <w:bCs/>
        </w:rPr>
      </w:pPr>
    </w:p>
    <w:p w14:paraId="73F6B686" w14:textId="77777777" w:rsidR="00A535E7" w:rsidRDefault="00A535E7" w:rsidP="00A535E7">
      <w:pPr>
        <w:jc w:val="both"/>
        <w:rPr>
          <w:b/>
          <w:bCs/>
        </w:rPr>
      </w:pPr>
      <w:r>
        <w:rPr>
          <w:b/>
          <w:bCs/>
        </w:rPr>
        <w:t>6. Määruse jõustumine</w:t>
      </w:r>
    </w:p>
    <w:p w14:paraId="5AC5337B" w14:textId="64ABE018" w:rsidR="00A535E7" w:rsidRDefault="00A535E7" w:rsidP="00A535E7">
      <w:pPr>
        <w:jc w:val="both"/>
        <w:rPr>
          <w:b/>
          <w:bCs/>
        </w:rPr>
      </w:pPr>
    </w:p>
    <w:p w14:paraId="30C0F2A1" w14:textId="1B5217C7" w:rsidR="0008434D" w:rsidRPr="0008434D" w:rsidRDefault="0008434D" w:rsidP="00A535E7">
      <w:pPr>
        <w:jc w:val="both"/>
        <w:rPr>
          <w:bCs/>
        </w:rPr>
      </w:pPr>
      <w:r w:rsidRPr="0008434D">
        <w:rPr>
          <w:bCs/>
        </w:rPr>
        <w:t>Määrus jõustub üldises korras.</w:t>
      </w:r>
    </w:p>
    <w:p w14:paraId="3CB6B587" w14:textId="77777777" w:rsidR="00A535E7" w:rsidRDefault="00A535E7" w:rsidP="00A535E7">
      <w:pPr>
        <w:jc w:val="both"/>
      </w:pPr>
    </w:p>
    <w:p w14:paraId="485ED25C" w14:textId="77777777" w:rsidR="00A535E7" w:rsidRDefault="00A535E7" w:rsidP="00A535E7">
      <w:pPr>
        <w:jc w:val="both"/>
        <w:rPr>
          <w:b/>
          <w:bCs/>
        </w:rPr>
      </w:pPr>
      <w:r>
        <w:rPr>
          <w:b/>
          <w:bCs/>
        </w:rPr>
        <w:t>7. Eelnõu kooskõlastamine, huvirühmade kaasamine ja avalik konsultatsioon</w:t>
      </w:r>
    </w:p>
    <w:p w14:paraId="78B8F6D9" w14:textId="6333658C" w:rsidR="00A535E7" w:rsidRDefault="00A535E7" w:rsidP="00A535E7">
      <w:pPr>
        <w:jc w:val="both"/>
        <w:rPr>
          <w:b/>
          <w:bCs/>
        </w:rPr>
      </w:pPr>
    </w:p>
    <w:p w14:paraId="61DC881C" w14:textId="77777777" w:rsidR="0008434D" w:rsidRPr="0008434D" w:rsidRDefault="0008434D" w:rsidP="00520E76">
      <w:pPr>
        <w:jc w:val="both"/>
        <w:rPr>
          <w:bCs/>
        </w:rPr>
      </w:pPr>
      <w:r w:rsidRPr="0008434D">
        <w:rPr>
          <w:bCs/>
        </w:rPr>
        <w:t xml:space="preserve">Eelnõu esitatakse eelnõude infosüsteemi EIS kaudu kooskõlastamiseks Rahandusministeeriumile ning Majandus- ja Kommunikatsiooniministeeriumile. </w:t>
      </w:r>
    </w:p>
    <w:p w14:paraId="645E8578" w14:textId="77777777" w:rsidR="0008434D" w:rsidRPr="0008434D" w:rsidRDefault="0008434D" w:rsidP="0008434D">
      <w:pPr>
        <w:jc w:val="both"/>
        <w:rPr>
          <w:bCs/>
        </w:rPr>
      </w:pPr>
    </w:p>
    <w:p w14:paraId="45CB9BBA" w14:textId="19332AA2" w:rsidR="0008434D" w:rsidRPr="0008434D" w:rsidRDefault="0008434D" w:rsidP="0008434D">
      <w:pPr>
        <w:jc w:val="both"/>
        <w:rPr>
          <w:bCs/>
        </w:rPr>
      </w:pPr>
      <w:r w:rsidRPr="0008434D">
        <w:rPr>
          <w:bCs/>
        </w:rPr>
        <w:t>Eelnõu esitatakse arvamuse andmiseks PRIA-le.</w:t>
      </w:r>
    </w:p>
    <w:sectPr w:rsidR="0008434D" w:rsidRPr="0008434D">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61074" w14:textId="77777777" w:rsidR="00150406" w:rsidRDefault="00150406" w:rsidP="003219ED">
      <w:r>
        <w:separator/>
      </w:r>
    </w:p>
  </w:endnote>
  <w:endnote w:type="continuationSeparator" w:id="0">
    <w:p w14:paraId="6648B020" w14:textId="77777777" w:rsidR="00150406" w:rsidRDefault="00150406" w:rsidP="00321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0462031"/>
      <w:docPartObj>
        <w:docPartGallery w:val="Page Numbers (Bottom of Page)"/>
        <w:docPartUnique/>
      </w:docPartObj>
    </w:sdtPr>
    <w:sdtEndPr/>
    <w:sdtContent>
      <w:p w14:paraId="08149E2B" w14:textId="19EF00EA" w:rsidR="003219ED" w:rsidRDefault="003219ED">
        <w:pPr>
          <w:pStyle w:val="Footer"/>
          <w:jc w:val="center"/>
        </w:pPr>
        <w:r>
          <w:fldChar w:fldCharType="begin"/>
        </w:r>
        <w:r>
          <w:instrText>PAGE   \* MERGEFORMAT</w:instrText>
        </w:r>
        <w:r>
          <w:fldChar w:fldCharType="separate"/>
        </w:r>
        <w:r w:rsidR="00FB176C">
          <w:rPr>
            <w:noProof/>
          </w:rPr>
          <w:t>1</w:t>
        </w:r>
        <w:r>
          <w:fldChar w:fldCharType="end"/>
        </w:r>
      </w:p>
    </w:sdtContent>
  </w:sdt>
  <w:p w14:paraId="1A0487F4" w14:textId="77777777" w:rsidR="003219ED" w:rsidRDefault="003219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F1698" w14:textId="77777777" w:rsidR="00150406" w:rsidRDefault="00150406" w:rsidP="003219ED">
      <w:r>
        <w:separator/>
      </w:r>
    </w:p>
  </w:footnote>
  <w:footnote w:type="continuationSeparator" w:id="0">
    <w:p w14:paraId="71B4D825" w14:textId="77777777" w:rsidR="00150406" w:rsidRDefault="00150406" w:rsidP="003219ED">
      <w:r>
        <w:continuationSeparator/>
      </w:r>
    </w:p>
  </w:footnote>
  <w:footnote w:id="1">
    <w:p w14:paraId="134E45DA" w14:textId="4011C8AC" w:rsidR="008B46EA" w:rsidRDefault="008B46EA" w:rsidP="00FB176C">
      <w:pPr>
        <w:pStyle w:val="FootnoteText"/>
        <w:jc w:val="both"/>
      </w:pPr>
      <w:r>
        <w:rPr>
          <w:rStyle w:val="FootnoteReference"/>
        </w:rPr>
        <w:footnoteRef/>
      </w:r>
      <w:r>
        <w:t xml:space="preserve"> </w:t>
      </w:r>
      <w:r w:rsidR="00C06977" w:rsidRPr="00C06977">
        <w:t>Euroopa Parlamendi ja nõukogu määrus (EL) 2020/2220, millega kehtestatakse teatavad üleminekusätted Euroopa Maaelu Arengu Põllumajandusfondi (EAFRD) ja Euroopa Põllumajanduse Tagatisfondi (EAGF) toetuse kohta 2021. ja 2022. aastal ning muudetakse määrusi (EL) nr 1305/2013, (EL) nr 1306/2013 ning (EL) nr</w:t>
      </w:r>
      <w:r w:rsidR="00AE41EB">
        <w:t> </w:t>
      </w:r>
      <w:r w:rsidR="00C06977" w:rsidRPr="00C06977">
        <w:t>1307/2013 seoses 2021. ja 2022. aastal eraldatavate vahendite ja nende määruste kohaldamisega ning määrust (EL) nr 1308/2013 seoses 2021. ja 2022. aastal eraldatavate vahendite ja sellise toetuse jaotamisega (ELT L 437, 28.12.2020, lk 1–29)</w:t>
      </w:r>
      <w:r w:rsidR="00090C1B">
        <w:t>.</w:t>
      </w:r>
    </w:p>
  </w:footnote>
  <w:footnote w:id="2">
    <w:p w14:paraId="1BF0995C" w14:textId="5BAD96EF" w:rsidR="00090C1B" w:rsidRDefault="00090C1B" w:rsidP="00FB176C">
      <w:pPr>
        <w:pStyle w:val="FootnoteText"/>
        <w:jc w:val="both"/>
      </w:pPr>
      <w:r>
        <w:rPr>
          <w:rStyle w:val="FootnoteReference"/>
        </w:rPr>
        <w:footnoteRef/>
      </w:r>
      <w:r>
        <w:t xml:space="preserve"> </w:t>
      </w:r>
      <w:r w:rsidRPr="00090C1B">
        <w:t>Euroopa Parlamendi ja nõukogu määrus (EL) nr 1303/2013, millega kehtestatakse ühissätted Euroopa Regionaalarengu Fondi, Euroopa Sotsiaalfondi, Ühtekuuluvusfondi, Euroopa Maaelu Arengu Euroopa Põllumajandusfondi ning Euroopa Merendus- ja Kalandusfondi kohta, nähakse ette üldsätted Euroopa Regionaalarengu Fondi, Euroopa Sotsiaalfondi, Ühtekuuluvusfondi ja Euroopa Merendus- ja Kalandusfondi kohta ning tunnistatakse kehtetuks nõukogu määrus (EÜ) nr 1083/2006 (ELT L 347, 20.12.2013, lk 320–469)</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96FBD"/>
    <w:multiLevelType w:val="hybridMultilevel"/>
    <w:tmpl w:val="CE54203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5C32EC3"/>
    <w:multiLevelType w:val="hybridMultilevel"/>
    <w:tmpl w:val="450AE68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8D85C26"/>
    <w:multiLevelType w:val="hybridMultilevel"/>
    <w:tmpl w:val="CE22A0D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4FF36F83"/>
    <w:multiLevelType w:val="hybridMultilevel"/>
    <w:tmpl w:val="A99401B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5D2F17BB"/>
    <w:multiLevelType w:val="hybridMultilevel"/>
    <w:tmpl w:val="519C5A1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60D5071A"/>
    <w:multiLevelType w:val="hybridMultilevel"/>
    <w:tmpl w:val="5AA8578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63032E49"/>
    <w:multiLevelType w:val="hybridMultilevel"/>
    <w:tmpl w:val="C91CE0B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75C712F5"/>
    <w:multiLevelType w:val="hybridMultilevel"/>
    <w:tmpl w:val="E2B0384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759"/>
    <w:rsid w:val="00010E61"/>
    <w:rsid w:val="000133C3"/>
    <w:rsid w:val="00015D7A"/>
    <w:rsid w:val="00021F3A"/>
    <w:rsid w:val="00023D90"/>
    <w:rsid w:val="0003058F"/>
    <w:rsid w:val="000436C6"/>
    <w:rsid w:val="00045C2F"/>
    <w:rsid w:val="000460E0"/>
    <w:rsid w:val="00052801"/>
    <w:rsid w:val="000531AA"/>
    <w:rsid w:val="0006213C"/>
    <w:rsid w:val="00070B0D"/>
    <w:rsid w:val="0008195C"/>
    <w:rsid w:val="0008434D"/>
    <w:rsid w:val="00084811"/>
    <w:rsid w:val="00084A34"/>
    <w:rsid w:val="00090ACD"/>
    <w:rsid w:val="00090C1B"/>
    <w:rsid w:val="000B355A"/>
    <w:rsid w:val="000B7AAF"/>
    <w:rsid w:val="000C06F4"/>
    <w:rsid w:val="000C6AA2"/>
    <w:rsid w:val="000E6152"/>
    <w:rsid w:val="000F00C3"/>
    <w:rsid w:val="000F47FA"/>
    <w:rsid w:val="000F7C60"/>
    <w:rsid w:val="00103FBD"/>
    <w:rsid w:val="00126288"/>
    <w:rsid w:val="001319D7"/>
    <w:rsid w:val="001417E9"/>
    <w:rsid w:val="0014271A"/>
    <w:rsid w:val="00144010"/>
    <w:rsid w:val="001456DC"/>
    <w:rsid w:val="00147B00"/>
    <w:rsid w:val="00150406"/>
    <w:rsid w:val="001638A1"/>
    <w:rsid w:val="00172DB2"/>
    <w:rsid w:val="0017795D"/>
    <w:rsid w:val="0018373D"/>
    <w:rsid w:val="001930F1"/>
    <w:rsid w:val="001940C9"/>
    <w:rsid w:val="00195C9B"/>
    <w:rsid w:val="001A32AF"/>
    <w:rsid w:val="001A4A0A"/>
    <w:rsid w:val="001B2506"/>
    <w:rsid w:val="001C7054"/>
    <w:rsid w:val="001D6EE6"/>
    <w:rsid w:val="001E06FC"/>
    <w:rsid w:val="001E078C"/>
    <w:rsid w:val="001F2479"/>
    <w:rsid w:val="001F29EC"/>
    <w:rsid w:val="001F3F97"/>
    <w:rsid w:val="001F6144"/>
    <w:rsid w:val="0020506A"/>
    <w:rsid w:val="00207F64"/>
    <w:rsid w:val="00210048"/>
    <w:rsid w:val="00214C20"/>
    <w:rsid w:val="00215045"/>
    <w:rsid w:val="002235BE"/>
    <w:rsid w:val="00224887"/>
    <w:rsid w:val="00235CB4"/>
    <w:rsid w:val="00240443"/>
    <w:rsid w:val="00246BF4"/>
    <w:rsid w:val="00264DB6"/>
    <w:rsid w:val="002662ED"/>
    <w:rsid w:val="0027174B"/>
    <w:rsid w:val="0027176C"/>
    <w:rsid w:val="00276ADC"/>
    <w:rsid w:val="002915CC"/>
    <w:rsid w:val="00292FB6"/>
    <w:rsid w:val="002940CA"/>
    <w:rsid w:val="00295CF8"/>
    <w:rsid w:val="0029786E"/>
    <w:rsid w:val="002D03CE"/>
    <w:rsid w:val="002D393D"/>
    <w:rsid w:val="002E5984"/>
    <w:rsid w:val="002F3E7B"/>
    <w:rsid w:val="002F7C62"/>
    <w:rsid w:val="002F7E9D"/>
    <w:rsid w:val="00300CDC"/>
    <w:rsid w:val="00307BA7"/>
    <w:rsid w:val="00311B7F"/>
    <w:rsid w:val="00313F81"/>
    <w:rsid w:val="00314EB5"/>
    <w:rsid w:val="003219ED"/>
    <w:rsid w:val="0032281B"/>
    <w:rsid w:val="0032282D"/>
    <w:rsid w:val="00325110"/>
    <w:rsid w:val="00327013"/>
    <w:rsid w:val="003329D9"/>
    <w:rsid w:val="00333832"/>
    <w:rsid w:val="00333A85"/>
    <w:rsid w:val="00335774"/>
    <w:rsid w:val="00336C3A"/>
    <w:rsid w:val="0034427F"/>
    <w:rsid w:val="00344861"/>
    <w:rsid w:val="00345760"/>
    <w:rsid w:val="003506DC"/>
    <w:rsid w:val="00351577"/>
    <w:rsid w:val="00356EAA"/>
    <w:rsid w:val="00360C4B"/>
    <w:rsid w:val="0036689B"/>
    <w:rsid w:val="00371783"/>
    <w:rsid w:val="00377111"/>
    <w:rsid w:val="003809B4"/>
    <w:rsid w:val="00381AD4"/>
    <w:rsid w:val="00382AAE"/>
    <w:rsid w:val="0038559C"/>
    <w:rsid w:val="00390978"/>
    <w:rsid w:val="003911D6"/>
    <w:rsid w:val="003935FD"/>
    <w:rsid w:val="003A47FF"/>
    <w:rsid w:val="003C086C"/>
    <w:rsid w:val="003C1C82"/>
    <w:rsid w:val="003C470F"/>
    <w:rsid w:val="003C568C"/>
    <w:rsid w:val="003D052D"/>
    <w:rsid w:val="003D0B16"/>
    <w:rsid w:val="003D27DA"/>
    <w:rsid w:val="003F434F"/>
    <w:rsid w:val="003F4763"/>
    <w:rsid w:val="003F6568"/>
    <w:rsid w:val="003F6D7A"/>
    <w:rsid w:val="0040637C"/>
    <w:rsid w:val="004128F4"/>
    <w:rsid w:val="00420192"/>
    <w:rsid w:val="00421169"/>
    <w:rsid w:val="0043272D"/>
    <w:rsid w:val="00435F3C"/>
    <w:rsid w:val="00437AFE"/>
    <w:rsid w:val="004417A1"/>
    <w:rsid w:val="00443074"/>
    <w:rsid w:val="00446EAE"/>
    <w:rsid w:val="0045319C"/>
    <w:rsid w:val="004533E5"/>
    <w:rsid w:val="00454014"/>
    <w:rsid w:val="004600F3"/>
    <w:rsid w:val="00464E29"/>
    <w:rsid w:val="00475CD1"/>
    <w:rsid w:val="004817AE"/>
    <w:rsid w:val="00490314"/>
    <w:rsid w:val="004903BC"/>
    <w:rsid w:val="00490D04"/>
    <w:rsid w:val="00491941"/>
    <w:rsid w:val="004A05E9"/>
    <w:rsid w:val="004A4465"/>
    <w:rsid w:val="004B3937"/>
    <w:rsid w:val="004B4165"/>
    <w:rsid w:val="004D2285"/>
    <w:rsid w:val="004D52E6"/>
    <w:rsid w:val="004E4AF9"/>
    <w:rsid w:val="004E6D5F"/>
    <w:rsid w:val="004E6EFB"/>
    <w:rsid w:val="004E7897"/>
    <w:rsid w:val="004F598A"/>
    <w:rsid w:val="004F6EEF"/>
    <w:rsid w:val="00501EBD"/>
    <w:rsid w:val="00505763"/>
    <w:rsid w:val="005167F4"/>
    <w:rsid w:val="00520E76"/>
    <w:rsid w:val="005246D8"/>
    <w:rsid w:val="005269E6"/>
    <w:rsid w:val="0052700F"/>
    <w:rsid w:val="00533157"/>
    <w:rsid w:val="00540F82"/>
    <w:rsid w:val="005421F2"/>
    <w:rsid w:val="00551F3B"/>
    <w:rsid w:val="00551F63"/>
    <w:rsid w:val="00553AE7"/>
    <w:rsid w:val="005645EF"/>
    <w:rsid w:val="00567601"/>
    <w:rsid w:val="005715C1"/>
    <w:rsid w:val="00580A0B"/>
    <w:rsid w:val="00581736"/>
    <w:rsid w:val="005827E7"/>
    <w:rsid w:val="005831AB"/>
    <w:rsid w:val="00583F92"/>
    <w:rsid w:val="005924A0"/>
    <w:rsid w:val="005932CA"/>
    <w:rsid w:val="00597900"/>
    <w:rsid w:val="005A3B07"/>
    <w:rsid w:val="005A52D9"/>
    <w:rsid w:val="005A71C2"/>
    <w:rsid w:val="005A741D"/>
    <w:rsid w:val="005B5453"/>
    <w:rsid w:val="005B5A7D"/>
    <w:rsid w:val="005C485D"/>
    <w:rsid w:val="005C6C82"/>
    <w:rsid w:val="005C75B0"/>
    <w:rsid w:val="005D2E22"/>
    <w:rsid w:val="005D33C6"/>
    <w:rsid w:val="005E08AF"/>
    <w:rsid w:val="005F252D"/>
    <w:rsid w:val="005F7750"/>
    <w:rsid w:val="006158C9"/>
    <w:rsid w:val="006161B0"/>
    <w:rsid w:val="006243B4"/>
    <w:rsid w:val="006274AC"/>
    <w:rsid w:val="00627B5D"/>
    <w:rsid w:val="00627EFF"/>
    <w:rsid w:val="00637754"/>
    <w:rsid w:val="006509E0"/>
    <w:rsid w:val="00650CB8"/>
    <w:rsid w:val="00653276"/>
    <w:rsid w:val="006537AC"/>
    <w:rsid w:val="00653ED5"/>
    <w:rsid w:val="0065787F"/>
    <w:rsid w:val="00663ABD"/>
    <w:rsid w:val="006652C7"/>
    <w:rsid w:val="0066544A"/>
    <w:rsid w:val="00670863"/>
    <w:rsid w:val="006721F4"/>
    <w:rsid w:val="00672F12"/>
    <w:rsid w:val="006736B4"/>
    <w:rsid w:val="0067405C"/>
    <w:rsid w:val="00675301"/>
    <w:rsid w:val="00675778"/>
    <w:rsid w:val="006757A9"/>
    <w:rsid w:val="00677C05"/>
    <w:rsid w:val="00692926"/>
    <w:rsid w:val="00694540"/>
    <w:rsid w:val="006A2DE3"/>
    <w:rsid w:val="006A6376"/>
    <w:rsid w:val="006B11E9"/>
    <w:rsid w:val="006B5518"/>
    <w:rsid w:val="006B570E"/>
    <w:rsid w:val="006C1CFB"/>
    <w:rsid w:val="006C1FF7"/>
    <w:rsid w:val="006C483C"/>
    <w:rsid w:val="006C73BD"/>
    <w:rsid w:val="006D1384"/>
    <w:rsid w:val="006E4D3F"/>
    <w:rsid w:val="006E5EE6"/>
    <w:rsid w:val="006F19A7"/>
    <w:rsid w:val="006F2CD3"/>
    <w:rsid w:val="006F4049"/>
    <w:rsid w:val="006F472F"/>
    <w:rsid w:val="006F49F8"/>
    <w:rsid w:val="0070106E"/>
    <w:rsid w:val="00701E60"/>
    <w:rsid w:val="00703991"/>
    <w:rsid w:val="0071012B"/>
    <w:rsid w:val="00711062"/>
    <w:rsid w:val="007220B8"/>
    <w:rsid w:val="007246B2"/>
    <w:rsid w:val="00726397"/>
    <w:rsid w:val="007402CA"/>
    <w:rsid w:val="007463D5"/>
    <w:rsid w:val="007669E4"/>
    <w:rsid w:val="00774BB8"/>
    <w:rsid w:val="007768F9"/>
    <w:rsid w:val="00776C3A"/>
    <w:rsid w:val="007804F1"/>
    <w:rsid w:val="007817B4"/>
    <w:rsid w:val="00783AFC"/>
    <w:rsid w:val="00783ED3"/>
    <w:rsid w:val="00787800"/>
    <w:rsid w:val="007915EC"/>
    <w:rsid w:val="00795B9D"/>
    <w:rsid w:val="007978E0"/>
    <w:rsid w:val="007B21CA"/>
    <w:rsid w:val="007C6D79"/>
    <w:rsid w:val="007D0A6F"/>
    <w:rsid w:val="007D0B27"/>
    <w:rsid w:val="007E5E64"/>
    <w:rsid w:val="007F2D9E"/>
    <w:rsid w:val="00802FEF"/>
    <w:rsid w:val="00803758"/>
    <w:rsid w:val="008076F7"/>
    <w:rsid w:val="0081728F"/>
    <w:rsid w:val="0082315E"/>
    <w:rsid w:val="008233AC"/>
    <w:rsid w:val="008270DB"/>
    <w:rsid w:val="0082721F"/>
    <w:rsid w:val="00834A3F"/>
    <w:rsid w:val="00837B86"/>
    <w:rsid w:val="00841F4F"/>
    <w:rsid w:val="00846349"/>
    <w:rsid w:val="00855330"/>
    <w:rsid w:val="00861F25"/>
    <w:rsid w:val="00862E27"/>
    <w:rsid w:val="00865D4A"/>
    <w:rsid w:val="00874DB1"/>
    <w:rsid w:val="00875692"/>
    <w:rsid w:val="008852E4"/>
    <w:rsid w:val="00887F22"/>
    <w:rsid w:val="00891F3B"/>
    <w:rsid w:val="00897168"/>
    <w:rsid w:val="008A2A68"/>
    <w:rsid w:val="008A4652"/>
    <w:rsid w:val="008A6AC0"/>
    <w:rsid w:val="008A7519"/>
    <w:rsid w:val="008B37D6"/>
    <w:rsid w:val="008B46EA"/>
    <w:rsid w:val="008C6CA8"/>
    <w:rsid w:val="008C7447"/>
    <w:rsid w:val="008D08A4"/>
    <w:rsid w:val="008D272F"/>
    <w:rsid w:val="008D49AE"/>
    <w:rsid w:val="008D6268"/>
    <w:rsid w:val="008E5387"/>
    <w:rsid w:val="008E711F"/>
    <w:rsid w:val="008F4E58"/>
    <w:rsid w:val="008F640C"/>
    <w:rsid w:val="00900259"/>
    <w:rsid w:val="009026AB"/>
    <w:rsid w:val="00902C8B"/>
    <w:rsid w:val="00916487"/>
    <w:rsid w:val="0092236D"/>
    <w:rsid w:val="00926046"/>
    <w:rsid w:val="00926C75"/>
    <w:rsid w:val="00930518"/>
    <w:rsid w:val="0093274C"/>
    <w:rsid w:val="0094310E"/>
    <w:rsid w:val="009453E5"/>
    <w:rsid w:val="0095669A"/>
    <w:rsid w:val="009614F2"/>
    <w:rsid w:val="009645B3"/>
    <w:rsid w:val="00967E52"/>
    <w:rsid w:val="0097469E"/>
    <w:rsid w:val="00974B16"/>
    <w:rsid w:val="00987DA3"/>
    <w:rsid w:val="00991F85"/>
    <w:rsid w:val="00995246"/>
    <w:rsid w:val="009A43BA"/>
    <w:rsid w:val="009A4DFF"/>
    <w:rsid w:val="009A6E23"/>
    <w:rsid w:val="009B6B55"/>
    <w:rsid w:val="009C229D"/>
    <w:rsid w:val="009C5EE9"/>
    <w:rsid w:val="009C6B2E"/>
    <w:rsid w:val="009D69AA"/>
    <w:rsid w:val="009E092A"/>
    <w:rsid w:val="009F0901"/>
    <w:rsid w:val="009F091E"/>
    <w:rsid w:val="009F2B17"/>
    <w:rsid w:val="009F3855"/>
    <w:rsid w:val="009F636A"/>
    <w:rsid w:val="00A011F2"/>
    <w:rsid w:val="00A113F8"/>
    <w:rsid w:val="00A11EF7"/>
    <w:rsid w:val="00A17C86"/>
    <w:rsid w:val="00A24951"/>
    <w:rsid w:val="00A267B4"/>
    <w:rsid w:val="00A30803"/>
    <w:rsid w:val="00A3290C"/>
    <w:rsid w:val="00A3294F"/>
    <w:rsid w:val="00A33278"/>
    <w:rsid w:val="00A33942"/>
    <w:rsid w:val="00A339A5"/>
    <w:rsid w:val="00A379CC"/>
    <w:rsid w:val="00A4136F"/>
    <w:rsid w:val="00A46992"/>
    <w:rsid w:val="00A471AA"/>
    <w:rsid w:val="00A535E7"/>
    <w:rsid w:val="00A63840"/>
    <w:rsid w:val="00A65FBF"/>
    <w:rsid w:val="00A735D4"/>
    <w:rsid w:val="00A84B7C"/>
    <w:rsid w:val="00A85380"/>
    <w:rsid w:val="00A860B8"/>
    <w:rsid w:val="00A914B1"/>
    <w:rsid w:val="00A93EC8"/>
    <w:rsid w:val="00AA6399"/>
    <w:rsid w:val="00AA68A1"/>
    <w:rsid w:val="00AA6DFC"/>
    <w:rsid w:val="00AB46CF"/>
    <w:rsid w:val="00AC1C04"/>
    <w:rsid w:val="00AD1981"/>
    <w:rsid w:val="00AD250C"/>
    <w:rsid w:val="00AE1438"/>
    <w:rsid w:val="00AE3408"/>
    <w:rsid w:val="00AE41EB"/>
    <w:rsid w:val="00AF229D"/>
    <w:rsid w:val="00B01757"/>
    <w:rsid w:val="00B132ED"/>
    <w:rsid w:val="00B1465E"/>
    <w:rsid w:val="00B15919"/>
    <w:rsid w:val="00B15D95"/>
    <w:rsid w:val="00B309BB"/>
    <w:rsid w:val="00B4125D"/>
    <w:rsid w:val="00B41A93"/>
    <w:rsid w:val="00B4281E"/>
    <w:rsid w:val="00B5194F"/>
    <w:rsid w:val="00B61765"/>
    <w:rsid w:val="00B61CDF"/>
    <w:rsid w:val="00B671FA"/>
    <w:rsid w:val="00B7132D"/>
    <w:rsid w:val="00B76A39"/>
    <w:rsid w:val="00B906E0"/>
    <w:rsid w:val="00BA4E3D"/>
    <w:rsid w:val="00BB07A2"/>
    <w:rsid w:val="00BC145C"/>
    <w:rsid w:val="00BC4F56"/>
    <w:rsid w:val="00BC58E6"/>
    <w:rsid w:val="00BE53BE"/>
    <w:rsid w:val="00BF0DF7"/>
    <w:rsid w:val="00BF0F0B"/>
    <w:rsid w:val="00BF5B28"/>
    <w:rsid w:val="00C012A6"/>
    <w:rsid w:val="00C01759"/>
    <w:rsid w:val="00C01BEB"/>
    <w:rsid w:val="00C027B1"/>
    <w:rsid w:val="00C03364"/>
    <w:rsid w:val="00C0385A"/>
    <w:rsid w:val="00C03A56"/>
    <w:rsid w:val="00C06977"/>
    <w:rsid w:val="00C06F5B"/>
    <w:rsid w:val="00C15356"/>
    <w:rsid w:val="00C1556F"/>
    <w:rsid w:val="00C24E65"/>
    <w:rsid w:val="00C24EE5"/>
    <w:rsid w:val="00C33618"/>
    <w:rsid w:val="00C50BB5"/>
    <w:rsid w:val="00C6135D"/>
    <w:rsid w:val="00C66FF6"/>
    <w:rsid w:val="00C75451"/>
    <w:rsid w:val="00C81B43"/>
    <w:rsid w:val="00C942EC"/>
    <w:rsid w:val="00CA2FA6"/>
    <w:rsid w:val="00CA3A28"/>
    <w:rsid w:val="00CA3F79"/>
    <w:rsid w:val="00CB04C8"/>
    <w:rsid w:val="00CB57E7"/>
    <w:rsid w:val="00CC1770"/>
    <w:rsid w:val="00CC1DFB"/>
    <w:rsid w:val="00CC6088"/>
    <w:rsid w:val="00CC7D62"/>
    <w:rsid w:val="00CD6AE0"/>
    <w:rsid w:val="00CF0DEA"/>
    <w:rsid w:val="00CF38B3"/>
    <w:rsid w:val="00CF7277"/>
    <w:rsid w:val="00D05658"/>
    <w:rsid w:val="00D11E60"/>
    <w:rsid w:val="00D147ED"/>
    <w:rsid w:val="00D220B4"/>
    <w:rsid w:val="00D2501A"/>
    <w:rsid w:val="00D25EC0"/>
    <w:rsid w:val="00D37D15"/>
    <w:rsid w:val="00D40156"/>
    <w:rsid w:val="00D40755"/>
    <w:rsid w:val="00D5073E"/>
    <w:rsid w:val="00D50ED8"/>
    <w:rsid w:val="00D525E0"/>
    <w:rsid w:val="00D5449C"/>
    <w:rsid w:val="00D56C6D"/>
    <w:rsid w:val="00D62DE5"/>
    <w:rsid w:val="00D65DD8"/>
    <w:rsid w:val="00D66031"/>
    <w:rsid w:val="00D669E8"/>
    <w:rsid w:val="00D66D3C"/>
    <w:rsid w:val="00D703B3"/>
    <w:rsid w:val="00D83063"/>
    <w:rsid w:val="00D91BA3"/>
    <w:rsid w:val="00D91E80"/>
    <w:rsid w:val="00DA48D2"/>
    <w:rsid w:val="00DA54C6"/>
    <w:rsid w:val="00DB0445"/>
    <w:rsid w:val="00DB4E08"/>
    <w:rsid w:val="00DC3884"/>
    <w:rsid w:val="00DD24E1"/>
    <w:rsid w:val="00DD49A8"/>
    <w:rsid w:val="00DD4B1A"/>
    <w:rsid w:val="00DF107A"/>
    <w:rsid w:val="00DF1D80"/>
    <w:rsid w:val="00DF1FC3"/>
    <w:rsid w:val="00DF2D2D"/>
    <w:rsid w:val="00E020B9"/>
    <w:rsid w:val="00E03FA0"/>
    <w:rsid w:val="00E11B07"/>
    <w:rsid w:val="00E127AA"/>
    <w:rsid w:val="00E1657A"/>
    <w:rsid w:val="00E31CFD"/>
    <w:rsid w:val="00E35531"/>
    <w:rsid w:val="00E44967"/>
    <w:rsid w:val="00E467B3"/>
    <w:rsid w:val="00E47FDD"/>
    <w:rsid w:val="00E53C44"/>
    <w:rsid w:val="00E56DE5"/>
    <w:rsid w:val="00E87EC0"/>
    <w:rsid w:val="00E927E8"/>
    <w:rsid w:val="00E93089"/>
    <w:rsid w:val="00E94D90"/>
    <w:rsid w:val="00E94FFF"/>
    <w:rsid w:val="00E96D0C"/>
    <w:rsid w:val="00EA2286"/>
    <w:rsid w:val="00EA388A"/>
    <w:rsid w:val="00EB242C"/>
    <w:rsid w:val="00EB2F13"/>
    <w:rsid w:val="00EB5504"/>
    <w:rsid w:val="00EC2FE7"/>
    <w:rsid w:val="00EC425C"/>
    <w:rsid w:val="00EC4319"/>
    <w:rsid w:val="00EC75EF"/>
    <w:rsid w:val="00ED1AE6"/>
    <w:rsid w:val="00EE31AB"/>
    <w:rsid w:val="00EF0F47"/>
    <w:rsid w:val="00EF2748"/>
    <w:rsid w:val="00EF2E65"/>
    <w:rsid w:val="00F004A1"/>
    <w:rsid w:val="00F05E44"/>
    <w:rsid w:val="00F0646B"/>
    <w:rsid w:val="00F11523"/>
    <w:rsid w:val="00F215DC"/>
    <w:rsid w:val="00F23E1C"/>
    <w:rsid w:val="00F30EC5"/>
    <w:rsid w:val="00F31C27"/>
    <w:rsid w:val="00F44EAB"/>
    <w:rsid w:val="00F50782"/>
    <w:rsid w:val="00F515A6"/>
    <w:rsid w:val="00F51696"/>
    <w:rsid w:val="00F535F0"/>
    <w:rsid w:val="00F63748"/>
    <w:rsid w:val="00F70E26"/>
    <w:rsid w:val="00F80D94"/>
    <w:rsid w:val="00F84DB9"/>
    <w:rsid w:val="00F933C1"/>
    <w:rsid w:val="00FA05E6"/>
    <w:rsid w:val="00FA41B6"/>
    <w:rsid w:val="00FA5857"/>
    <w:rsid w:val="00FB176C"/>
    <w:rsid w:val="00FC236B"/>
    <w:rsid w:val="00FC2DE5"/>
    <w:rsid w:val="00FC2ECA"/>
    <w:rsid w:val="00FD11B9"/>
    <w:rsid w:val="00FD2D56"/>
    <w:rsid w:val="00FD5A85"/>
    <w:rsid w:val="00FD7711"/>
    <w:rsid w:val="00FE13AA"/>
    <w:rsid w:val="00FE26E8"/>
    <w:rsid w:val="00FE28EA"/>
    <w:rsid w:val="00FE5BD7"/>
    <w:rsid w:val="00FF3B38"/>
    <w:rsid w:val="00FF639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D979C"/>
  <w15:docId w15:val="{ADC2DAA6-DEC9-4971-B717-AED37730F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759"/>
    <w:pPr>
      <w:autoSpaceDE w:val="0"/>
      <w:autoSpaceDN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
    <w:name w:val="Tekst"/>
    <w:autoRedefine/>
    <w:qFormat/>
    <w:rsid w:val="00E03FA0"/>
    <w:pPr>
      <w:tabs>
        <w:tab w:val="left" w:pos="142"/>
        <w:tab w:val="left" w:pos="284"/>
      </w:tabs>
      <w:spacing w:after="0" w:line="240" w:lineRule="auto"/>
      <w:jc w:val="both"/>
    </w:pPr>
    <w:rPr>
      <w:rFonts w:ascii="Times New Roman" w:eastAsia="SimSun" w:hAnsi="Times New Roman" w:cs="Mangal"/>
      <w:bCs/>
      <w:kern w:val="1"/>
      <w:sz w:val="24"/>
      <w:szCs w:val="24"/>
      <w:lang w:eastAsia="zh-CN" w:bidi="hi-IN"/>
    </w:rPr>
  </w:style>
  <w:style w:type="character" w:styleId="Hyperlink">
    <w:name w:val="Hyperlink"/>
    <w:basedOn w:val="DefaultParagraphFont"/>
    <w:uiPriority w:val="99"/>
    <w:unhideWhenUsed/>
    <w:rsid w:val="001638A1"/>
    <w:rPr>
      <w:color w:val="0000FF" w:themeColor="hyperlink"/>
      <w:u w:val="single"/>
    </w:rPr>
  </w:style>
  <w:style w:type="table" w:styleId="TableGrid">
    <w:name w:val="Table Grid"/>
    <w:basedOn w:val="TableNormal"/>
    <w:uiPriority w:val="59"/>
    <w:rsid w:val="004E6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E6D5F"/>
    <w:pPr>
      <w:spacing w:after="200"/>
    </w:pPr>
    <w:rPr>
      <w:b/>
      <w:bCs/>
      <w:color w:val="4F81BD" w:themeColor="accent1"/>
      <w:sz w:val="18"/>
      <w:szCs w:val="18"/>
    </w:rPr>
  </w:style>
  <w:style w:type="paragraph" w:customStyle="1" w:styleId="Default">
    <w:name w:val="Default"/>
    <w:uiPriority w:val="99"/>
    <w:rsid w:val="00A535E7"/>
    <w:pPr>
      <w:autoSpaceDE w:val="0"/>
      <w:autoSpaceDN w:val="0"/>
      <w:adjustRightInd w:val="0"/>
      <w:spacing w:after="0" w:line="240" w:lineRule="auto"/>
    </w:pPr>
    <w:rPr>
      <w:rFonts w:ascii="EUAlbertina" w:eastAsia="Times New Roman" w:hAnsi="EUAlbertina" w:cs="EUAlbertina"/>
      <w:color w:val="000000"/>
      <w:sz w:val="24"/>
      <w:szCs w:val="24"/>
      <w:lang w:eastAsia="et-EE"/>
    </w:rPr>
  </w:style>
  <w:style w:type="paragraph" w:styleId="BalloonText">
    <w:name w:val="Balloon Text"/>
    <w:basedOn w:val="Normal"/>
    <w:link w:val="BalloonTextChar"/>
    <w:uiPriority w:val="99"/>
    <w:semiHidden/>
    <w:unhideWhenUsed/>
    <w:rsid w:val="00A63840"/>
    <w:rPr>
      <w:rFonts w:ascii="Tahoma" w:hAnsi="Tahoma" w:cs="Tahoma"/>
      <w:sz w:val="16"/>
      <w:szCs w:val="16"/>
    </w:rPr>
  </w:style>
  <w:style w:type="character" w:customStyle="1" w:styleId="BalloonTextChar">
    <w:name w:val="Balloon Text Char"/>
    <w:basedOn w:val="DefaultParagraphFont"/>
    <w:link w:val="BalloonText"/>
    <w:uiPriority w:val="99"/>
    <w:semiHidden/>
    <w:rsid w:val="00A63840"/>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703B3"/>
    <w:rPr>
      <w:sz w:val="16"/>
      <w:szCs w:val="16"/>
    </w:rPr>
  </w:style>
  <w:style w:type="paragraph" w:styleId="CommentText">
    <w:name w:val="annotation text"/>
    <w:basedOn w:val="Normal"/>
    <w:link w:val="CommentTextChar"/>
    <w:uiPriority w:val="99"/>
    <w:unhideWhenUsed/>
    <w:rsid w:val="00D703B3"/>
    <w:rPr>
      <w:sz w:val="20"/>
      <w:szCs w:val="20"/>
    </w:rPr>
  </w:style>
  <w:style w:type="character" w:customStyle="1" w:styleId="CommentTextChar">
    <w:name w:val="Comment Text Char"/>
    <w:basedOn w:val="DefaultParagraphFont"/>
    <w:link w:val="CommentText"/>
    <w:uiPriority w:val="99"/>
    <w:rsid w:val="00D703B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03B3"/>
    <w:rPr>
      <w:b/>
      <w:bCs/>
    </w:rPr>
  </w:style>
  <w:style w:type="character" w:customStyle="1" w:styleId="CommentSubjectChar">
    <w:name w:val="Comment Subject Char"/>
    <w:basedOn w:val="CommentTextChar"/>
    <w:link w:val="CommentSubject"/>
    <w:uiPriority w:val="99"/>
    <w:semiHidden/>
    <w:rsid w:val="00D703B3"/>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3219ED"/>
    <w:pPr>
      <w:tabs>
        <w:tab w:val="center" w:pos="4536"/>
        <w:tab w:val="right" w:pos="9072"/>
      </w:tabs>
    </w:pPr>
  </w:style>
  <w:style w:type="character" w:customStyle="1" w:styleId="HeaderChar">
    <w:name w:val="Header Char"/>
    <w:basedOn w:val="DefaultParagraphFont"/>
    <w:link w:val="Header"/>
    <w:uiPriority w:val="99"/>
    <w:rsid w:val="003219E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219ED"/>
    <w:pPr>
      <w:tabs>
        <w:tab w:val="center" w:pos="4536"/>
        <w:tab w:val="right" w:pos="9072"/>
      </w:tabs>
    </w:pPr>
  </w:style>
  <w:style w:type="character" w:customStyle="1" w:styleId="FooterChar">
    <w:name w:val="Footer Char"/>
    <w:basedOn w:val="DefaultParagraphFont"/>
    <w:link w:val="Footer"/>
    <w:uiPriority w:val="99"/>
    <w:rsid w:val="003219ED"/>
    <w:rPr>
      <w:rFonts w:ascii="Times New Roman" w:eastAsia="Times New Roman" w:hAnsi="Times New Roman" w:cs="Times New Roman"/>
      <w:sz w:val="24"/>
      <w:szCs w:val="24"/>
    </w:rPr>
  </w:style>
  <w:style w:type="paragraph" w:styleId="ListParagraph">
    <w:name w:val="List Paragraph"/>
    <w:basedOn w:val="Normal"/>
    <w:uiPriority w:val="34"/>
    <w:qFormat/>
    <w:rsid w:val="00421169"/>
    <w:pPr>
      <w:ind w:left="720"/>
      <w:contextualSpacing/>
    </w:pPr>
  </w:style>
  <w:style w:type="paragraph" w:styleId="EndnoteText">
    <w:name w:val="endnote text"/>
    <w:basedOn w:val="Normal"/>
    <w:link w:val="EndnoteTextChar"/>
    <w:uiPriority w:val="99"/>
    <w:semiHidden/>
    <w:unhideWhenUsed/>
    <w:rsid w:val="008B46EA"/>
    <w:rPr>
      <w:sz w:val="20"/>
      <w:szCs w:val="20"/>
    </w:rPr>
  </w:style>
  <w:style w:type="character" w:customStyle="1" w:styleId="EndnoteTextChar">
    <w:name w:val="Endnote Text Char"/>
    <w:basedOn w:val="DefaultParagraphFont"/>
    <w:link w:val="EndnoteText"/>
    <w:uiPriority w:val="99"/>
    <w:semiHidden/>
    <w:rsid w:val="008B46EA"/>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8B46EA"/>
    <w:rPr>
      <w:vertAlign w:val="superscript"/>
    </w:rPr>
  </w:style>
  <w:style w:type="paragraph" w:styleId="FootnoteText">
    <w:name w:val="footnote text"/>
    <w:basedOn w:val="Normal"/>
    <w:link w:val="FootnoteTextChar"/>
    <w:uiPriority w:val="99"/>
    <w:semiHidden/>
    <w:unhideWhenUsed/>
    <w:rsid w:val="008B46EA"/>
    <w:rPr>
      <w:sz w:val="20"/>
      <w:szCs w:val="20"/>
    </w:rPr>
  </w:style>
  <w:style w:type="character" w:customStyle="1" w:styleId="FootnoteTextChar">
    <w:name w:val="Footnote Text Char"/>
    <w:basedOn w:val="DefaultParagraphFont"/>
    <w:link w:val="FootnoteText"/>
    <w:uiPriority w:val="99"/>
    <w:semiHidden/>
    <w:rsid w:val="008B46E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B46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23057">
      <w:bodyDiv w:val="1"/>
      <w:marLeft w:val="0"/>
      <w:marRight w:val="0"/>
      <w:marTop w:val="0"/>
      <w:marBottom w:val="0"/>
      <w:divBdr>
        <w:top w:val="none" w:sz="0" w:space="0" w:color="auto"/>
        <w:left w:val="none" w:sz="0" w:space="0" w:color="auto"/>
        <w:bottom w:val="none" w:sz="0" w:space="0" w:color="auto"/>
        <w:right w:val="none" w:sz="0" w:space="0" w:color="auto"/>
      </w:divBdr>
    </w:div>
    <w:div w:id="554699342">
      <w:bodyDiv w:val="1"/>
      <w:marLeft w:val="0"/>
      <w:marRight w:val="0"/>
      <w:marTop w:val="0"/>
      <w:marBottom w:val="0"/>
      <w:divBdr>
        <w:top w:val="none" w:sz="0" w:space="0" w:color="auto"/>
        <w:left w:val="none" w:sz="0" w:space="0" w:color="auto"/>
        <w:bottom w:val="none" w:sz="0" w:space="0" w:color="auto"/>
        <w:right w:val="none" w:sz="0" w:space="0" w:color="auto"/>
      </w:divBdr>
    </w:div>
    <w:div w:id="953824948">
      <w:bodyDiv w:val="1"/>
      <w:marLeft w:val="0"/>
      <w:marRight w:val="0"/>
      <w:marTop w:val="0"/>
      <w:marBottom w:val="0"/>
      <w:divBdr>
        <w:top w:val="none" w:sz="0" w:space="0" w:color="auto"/>
        <w:left w:val="none" w:sz="0" w:space="0" w:color="auto"/>
        <w:bottom w:val="none" w:sz="0" w:space="0" w:color="auto"/>
        <w:right w:val="none" w:sz="0" w:space="0" w:color="auto"/>
      </w:divBdr>
    </w:div>
    <w:div w:id="165892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eli.tikk@agri.e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937C4-906C-4E4F-884B-D6320E0E4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2473</Words>
  <Characters>14347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Põllumajandusministeerium</Company>
  <LinksUpToDate>false</LinksUpToDate>
  <CharactersWithSpaces>16787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Janeli Tikk</dc:creator>
  <cp:lastModifiedBy>Janeli Tikk</cp:lastModifiedBy>
  <cp:revision>2</cp:revision>
  <cp:lastPrinted>2018-12-13T14:14:00Z</cp:lastPrinted>
  <dcterms:created xsi:type="dcterms:W3CDTF">2021-02-19T06:52:00Z</dcterms:created>
  <dcterms:modified xsi:type="dcterms:W3CDTF">2021-02-19T06:52:00Z</dcterms:modified>
</cp:coreProperties>
</file>