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F4A6" w14:textId="6015BD56" w:rsidR="0060581A" w:rsidRDefault="0060581A" w:rsidP="000F3352">
      <w:pPr>
        <w:rPr>
          <w:b/>
          <w:bCs/>
        </w:rPr>
      </w:pPr>
    </w:p>
    <w:p w14:paraId="6A6260D7" w14:textId="77777777" w:rsidR="0060581A" w:rsidRDefault="0060581A" w:rsidP="0060581A">
      <w:pPr>
        <w:rPr>
          <w:b/>
          <w:bCs/>
        </w:rPr>
      </w:pPr>
    </w:p>
    <w:p w14:paraId="7513ACFC" w14:textId="323F4FCC" w:rsidR="005560E8" w:rsidRDefault="005560E8" w:rsidP="0060581A">
      <w:pPr>
        <w:rPr>
          <w:b/>
          <w:bCs/>
        </w:rPr>
      </w:pPr>
    </w:p>
    <w:p w14:paraId="0EE041A0" w14:textId="77777777" w:rsidR="002D6483" w:rsidRDefault="002D6483" w:rsidP="002D6483">
      <w:pPr>
        <w:jc w:val="center"/>
        <w:rPr>
          <w:b/>
          <w:bCs/>
        </w:rPr>
      </w:pPr>
      <w:r w:rsidRPr="002D6483">
        <w:rPr>
          <w:b/>
          <w:bCs/>
        </w:rPr>
        <w:t>SELETUSKIRI</w:t>
      </w:r>
    </w:p>
    <w:p w14:paraId="4C425730" w14:textId="77777777" w:rsidR="00245B58" w:rsidRPr="002D6483" w:rsidRDefault="00245B58" w:rsidP="002D6483">
      <w:pPr>
        <w:jc w:val="center"/>
        <w:rPr>
          <w:b/>
          <w:bCs/>
        </w:rPr>
      </w:pPr>
    </w:p>
    <w:p w14:paraId="2817B1E4" w14:textId="218CDE02" w:rsidR="002D6483" w:rsidRPr="002D6483" w:rsidRDefault="00AC11FF" w:rsidP="002D6483">
      <w:pPr>
        <w:jc w:val="center"/>
        <w:rPr>
          <w:b/>
          <w:bCs/>
        </w:rPr>
      </w:pPr>
      <w:r>
        <w:rPr>
          <w:b/>
          <w:bCs/>
        </w:rPr>
        <w:t>m</w:t>
      </w:r>
      <w:r w:rsidR="002A63A7">
        <w:rPr>
          <w:b/>
          <w:bCs/>
        </w:rPr>
        <w:t>aaeluministri määruse „</w:t>
      </w:r>
      <w:r w:rsidRPr="00AC11FF">
        <w:rPr>
          <w:b/>
          <w:bCs/>
        </w:rPr>
        <w:t>Põllumajandusministri 24</w:t>
      </w:r>
      <w:r w:rsidR="002A63A7">
        <w:rPr>
          <w:b/>
          <w:bCs/>
        </w:rPr>
        <w:t xml:space="preserve">. märtsi 2006. a määruse nr </w:t>
      </w:r>
      <w:r w:rsidR="002152F9">
        <w:rPr>
          <w:b/>
          <w:bCs/>
        </w:rPr>
        <w:t>55</w:t>
      </w:r>
      <w:r w:rsidR="002A63A7">
        <w:rPr>
          <w:b/>
          <w:bCs/>
        </w:rPr>
        <w:t xml:space="preserve"> „</w:t>
      </w:r>
      <w:r w:rsidR="002152F9" w:rsidRPr="002152F9">
        <w:rPr>
          <w:b/>
          <w:bCs/>
        </w:rPr>
        <w:t>Teraviljaseemne kategooriad ning teraviljaseemne tootmise ja turustamise nõuded</w:t>
      </w:r>
      <w:r w:rsidRPr="00AC11FF">
        <w:rPr>
          <w:b/>
          <w:bCs/>
        </w:rPr>
        <w:t>” muutmine” eelnõu juurde</w:t>
      </w:r>
      <w:r w:rsidR="002D6483" w:rsidRPr="002D6483">
        <w:rPr>
          <w:b/>
          <w:bCs/>
        </w:rPr>
        <w:t xml:space="preserve"> </w:t>
      </w:r>
    </w:p>
    <w:p w14:paraId="30104F6C" w14:textId="77777777" w:rsidR="002D6483" w:rsidRDefault="002D6483" w:rsidP="002D6483">
      <w:pPr>
        <w:rPr>
          <w:b/>
          <w:bCs/>
        </w:rPr>
      </w:pPr>
    </w:p>
    <w:p w14:paraId="7CC3A2AB" w14:textId="23021AD2" w:rsidR="0001584C" w:rsidRDefault="0001584C" w:rsidP="002D6483">
      <w:pPr>
        <w:rPr>
          <w:b/>
          <w:bCs/>
        </w:rPr>
      </w:pPr>
    </w:p>
    <w:p w14:paraId="7844826A" w14:textId="77777777" w:rsidR="002D6483" w:rsidRDefault="002D6483" w:rsidP="002D6483">
      <w:pPr>
        <w:rPr>
          <w:b/>
          <w:bCs/>
        </w:rPr>
      </w:pPr>
      <w:r w:rsidRPr="002D6483">
        <w:rPr>
          <w:b/>
          <w:bCs/>
        </w:rPr>
        <w:t>1. Sissejuhatus</w:t>
      </w:r>
    </w:p>
    <w:p w14:paraId="774C05EE" w14:textId="77777777" w:rsidR="002D6483" w:rsidRDefault="002D6483" w:rsidP="002D6483">
      <w:pPr>
        <w:rPr>
          <w:b/>
          <w:bCs/>
        </w:rPr>
      </w:pPr>
    </w:p>
    <w:p w14:paraId="37F896F5" w14:textId="562E8058" w:rsidR="00AC11FF" w:rsidRDefault="00D2097C" w:rsidP="00AC11FF">
      <w:pPr>
        <w:jc w:val="both"/>
      </w:pPr>
      <w:r w:rsidRPr="00D2097C">
        <w:t>Määrus kehtestatakse taimede paljundamise ja sordikaitse seaduse § 3 lõike 3, § 6</w:t>
      </w:r>
      <w:r w:rsidRPr="008C1C91">
        <w:rPr>
          <w:vertAlign w:val="superscript"/>
        </w:rPr>
        <w:t>1</w:t>
      </w:r>
      <w:r w:rsidRPr="00D2097C">
        <w:t xml:space="preserve"> lõike 4, § 26 lõike 4, § 65 lõigete 4 ja 7, § 73 lõigete 8 ja 9, § 74 lõike 5, § 75 lõigete 2 ja 4, § 96 lõike 2, § 101 lõike 4, § 104 lõike 4, § 105 lõike 5 ning § 117 lõike 5 alusel.</w:t>
      </w:r>
    </w:p>
    <w:p w14:paraId="50FEA2C2" w14:textId="77777777" w:rsidR="00D2097C" w:rsidRDefault="00D2097C" w:rsidP="00AC11FF">
      <w:pPr>
        <w:jc w:val="both"/>
      </w:pPr>
    </w:p>
    <w:p w14:paraId="3AEF1FDB" w14:textId="77777777" w:rsidR="00113C7C" w:rsidRDefault="00113C7C" w:rsidP="00113C7C">
      <w:pPr>
        <w:jc w:val="both"/>
      </w:pPr>
      <w:r>
        <w:t xml:space="preserve">Põllumajandusministri 24. märtsi 2006. a määruse nr 55 </w:t>
      </w:r>
      <w:r w:rsidRPr="00D2097C">
        <w:t xml:space="preserve">„Teraviljaseemne kategooriad ning teraviljaseemne tootmise ja turustamise nõuded” </w:t>
      </w:r>
      <w:r>
        <w:t xml:space="preserve">(edaspidi </w:t>
      </w:r>
      <w:r>
        <w:rPr>
          <w:i/>
        </w:rPr>
        <w:t>määrus nr 55</w:t>
      </w:r>
      <w:r>
        <w:t>) muutmisega täpsustatakse tuulekaera analüüsimiseks vajaliku teravilja seemneproovi suurust.</w:t>
      </w:r>
    </w:p>
    <w:p w14:paraId="7E299838" w14:textId="77777777" w:rsidR="00D2097C" w:rsidRDefault="00D2097C" w:rsidP="00AC11FF">
      <w:pPr>
        <w:jc w:val="both"/>
      </w:pPr>
    </w:p>
    <w:p w14:paraId="7E19E582" w14:textId="3E145F74" w:rsidR="002D6483" w:rsidRDefault="00AC11FF" w:rsidP="00AC11FF">
      <w:pPr>
        <w:jc w:val="both"/>
      </w:pPr>
      <w:r>
        <w:t xml:space="preserve">Määruse eelnõu ja seletuskirja on koostanud </w:t>
      </w:r>
      <w:r w:rsidR="00007684">
        <w:t xml:space="preserve">Maaeluministeeriumi </w:t>
      </w:r>
      <w:r>
        <w:t xml:space="preserve">taimetervise osakonna </w:t>
      </w:r>
      <w:r w:rsidR="00876362">
        <w:t xml:space="preserve">nõunik </w:t>
      </w:r>
      <w:r>
        <w:t xml:space="preserve"> </w:t>
      </w:r>
      <w:r w:rsidR="002454BF">
        <w:t xml:space="preserve">Kristiina Digryte </w:t>
      </w:r>
      <w:r>
        <w:t>(625 6</w:t>
      </w:r>
      <w:r w:rsidR="002454BF">
        <w:t>275</w:t>
      </w:r>
      <w:r>
        <w:t xml:space="preserve">, </w:t>
      </w:r>
      <w:hyperlink r:id="rId5" w:history="1">
        <w:r w:rsidR="00F53CFE" w:rsidRPr="009A0615">
          <w:rPr>
            <w:rStyle w:val="Hyperlink"/>
          </w:rPr>
          <w:t>kristiina.digryte@agri.ee</w:t>
        </w:r>
      </w:hyperlink>
      <w:r>
        <w:t xml:space="preserve">). Eelnõule on juriidilise ekspertiisi teinud </w:t>
      </w:r>
      <w:r w:rsidR="00DF142D">
        <w:t xml:space="preserve">Maaeluministeeriumi </w:t>
      </w:r>
      <w:r>
        <w:t xml:space="preserve">õigusosakonna </w:t>
      </w:r>
      <w:r w:rsidR="00D673C2">
        <w:t xml:space="preserve">nõunik </w:t>
      </w:r>
      <w:r>
        <w:t>Mari-Liis Kivipõld (625</w:t>
      </w:r>
      <w:r w:rsidR="00E81CA6">
        <w:t> </w:t>
      </w:r>
      <w:r>
        <w:t xml:space="preserve">6283, </w:t>
      </w:r>
      <w:hyperlink r:id="rId6" w:history="1">
        <w:r w:rsidR="002454BF" w:rsidRPr="003F739B">
          <w:rPr>
            <w:rStyle w:val="Hyperlink"/>
          </w:rPr>
          <w:t>mari-liis.kivipold@agri.ee</w:t>
        </w:r>
      </w:hyperlink>
      <w:r>
        <w:t>) ning keeleliselt toimetas eelnõu sama osakonna peaspetsialist Leeni Kohal (</w:t>
      </w:r>
      <w:r w:rsidR="00DF142D">
        <w:t xml:space="preserve">tel 625 6165, </w:t>
      </w:r>
      <w:hyperlink r:id="rId7" w:history="1">
        <w:r w:rsidR="00DF142D" w:rsidRPr="00C40062">
          <w:rPr>
            <w:rStyle w:val="Hyperlink"/>
          </w:rPr>
          <w:t>leeni.kohal@agri.ee</w:t>
        </w:r>
      </w:hyperlink>
      <w:r>
        <w:t>).</w:t>
      </w:r>
    </w:p>
    <w:p w14:paraId="4286A157" w14:textId="77777777" w:rsidR="00AC11FF" w:rsidRPr="002D6483" w:rsidRDefault="00AC11FF" w:rsidP="00AC11FF">
      <w:pPr>
        <w:jc w:val="both"/>
      </w:pPr>
    </w:p>
    <w:p w14:paraId="41E85CD9" w14:textId="77777777" w:rsidR="002D6483" w:rsidRDefault="002D6483" w:rsidP="002D6483">
      <w:pPr>
        <w:jc w:val="both"/>
        <w:rPr>
          <w:b/>
          <w:bCs/>
        </w:rPr>
      </w:pPr>
      <w:r w:rsidRPr="002D6483">
        <w:rPr>
          <w:b/>
          <w:bCs/>
        </w:rPr>
        <w:t>2. Eelnõu sisu ja võrdlev analüüs</w:t>
      </w:r>
    </w:p>
    <w:p w14:paraId="0A3ECD4C" w14:textId="7B3703C4" w:rsidR="002D6483" w:rsidRDefault="002D6483" w:rsidP="002D6483">
      <w:pPr>
        <w:jc w:val="both"/>
        <w:rPr>
          <w:b/>
          <w:bCs/>
        </w:rPr>
      </w:pPr>
    </w:p>
    <w:p w14:paraId="66555D1E" w14:textId="733EB5BD" w:rsidR="00EF63D3" w:rsidRDefault="00ED6FDE" w:rsidP="000A7625">
      <w:pPr>
        <w:jc w:val="both"/>
        <w:rPr>
          <w:bCs/>
        </w:rPr>
      </w:pPr>
      <w:r w:rsidRPr="00ED6FDE">
        <w:rPr>
          <w:bCs/>
        </w:rPr>
        <w:t>Eelnõuga täpsustatakse tuulekaera esinemise määramiseks sertifitseeritavast seemnepartiist proovi</w:t>
      </w:r>
      <w:r w:rsidR="008F4145">
        <w:rPr>
          <w:bCs/>
        </w:rPr>
        <w:t xml:space="preserve"> </w:t>
      </w:r>
      <w:r w:rsidRPr="00ED6FDE">
        <w:rPr>
          <w:bCs/>
        </w:rPr>
        <w:t xml:space="preserve">võtmise ja selle analüüsimisega seonduvaid sätteid. </w:t>
      </w:r>
      <w:r w:rsidR="00EF63D3">
        <w:rPr>
          <w:bCs/>
        </w:rPr>
        <w:t>Seemnete sertifitseerimisel on neli olulist etappi</w:t>
      </w:r>
      <w:r w:rsidR="00404C5F">
        <w:rPr>
          <w:bCs/>
        </w:rPr>
        <w:t xml:space="preserve"> </w:t>
      </w:r>
      <w:r w:rsidR="00E953D9">
        <w:rPr>
          <w:bCs/>
        </w:rPr>
        <w:t>–</w:t>
      </w:r>
      <w:r w:rsidR="00EF63D3">
        <w:rPr>
          <w:bCs/>
        </w:rPr>
        <w:t xml:space="preserve"> seemnete põldtunnustamine, proovide võtmine, </w:t>
      </w:r>
      <w:r w:rsidR="006E57C8">
        <w:rPr>
          <w:bCs/>
        </w:rPr>
        <w:t xml:space="preserve">nende </w:t>
      </w:r>
      <w:r w:rsidR="00EF63D3">
        <w:rPr>
          <w:bCs/>
        </w:rPr>
        <w:t xml:space="preserve">analüüsimine ning </w:t>
      </w:r>
      <w:proofErr w:type="spellStart"/>
      <w:r w:rsidR="00EF63D3">
        <w:rPr>
          <w:bCs/>
        </w:rPr>
        <w:t>järelkontroll</w:t>
      </w:r>
      <w:proofErr w:type="spellEnd"/>
      <w:r w:rsidR="00EF63D3">
        <w:rPr>
          <w:bCs/>
        </w:rPr>
        <w:t xml:space="preserve">. Sertifitseeritava seemnepartii </w:t>
      </w:r>
      <w:r w:rsidR="006E57C8">
        <w:rPr>
          <w:bCs/>
        </w:rPr>
        <w:t xml:space="preserve">puhul </w:t>
      </w:r>
      <w:r w:rsidR="00EF63D3">
        <w:rPr>
          <w:bCs/>
        </w:rPr>
        <w:t xml:space="preserve">on esmane tuulekaera </w:t>
      </w:r>
      <w:r w:rsidR="00113C7C">
        <w:rPr>
          <w:bCs/>
        </w:rPr>
        <w:t xml:space="preserve">esinemise hindamise </w:t>
      </w:r>
      <w:r w:rsidR="00EF63D3">
        <w:rPr>
          <w:bCs/>
        </w:rPr>
        <w:t xml:space="preserve"> etapp põl</w:t>
      </w:r>
      <w:r w:rsidR="002E4103">
        <w:rPr>
          <w:bCs/>
        </w:rPr>
        <w:t xml:space="preserve">dtunnustamine ja teine etapp seemneproovi analüüsimine. </w:t>
      </w:r>
      <w:r w:rsidR="00380172">
        <w:rPr>
          <w:bCs/>
        </w:rPr>
        <w:t xml:space="preserve"> </w:t>
      </w:r>
    </w:p>
    <w:p w14:paraId="2A1399AA" w14:textId="220442A9" w:rsidR="00EF63D3" w:rsidRDefault="00EF63D3" w:rsidP="000A7625">
      <w:pPr>
        <w:jc w:val="both"/>
        <w:rPr>
          <w:bCs/>
        </w:rPr>
      </w:pPr>
    </w:p>
    <w:p w14:paraId="7ADA8FF0" w14:textId="38196E84" w:rsidR="00EF63D3" w:rsidRDefault="008F4145" w:rsidP="00EF63D3">
      <w:pPr>
        <w:jc w:val="both"/>
        <w:rPr>
          <w:bCs/>
        </w:rPr>
      </w:pPr>
      <w:r>
        <w:rPr>
          <w:bCs/>
        </w:rPr>
        <w:t>M</w:t>
      </w:r>
      <w:r w:rsidR="00EF63D3">
        <w:rPr>
          <w:bCs/>
        </w:rPr>
        <w:t xml:space="preserve">ääruse nr 55 </w:t>
      </w:r>
      <w:r w:rsidR="00E953D9">
        <w:rPr>
          <w:bCs/>
        </w:rPr>
        <w:t xml:space="preserve">§ </w:t>
      </w:r>
      <w:r w:rsidR="00EF63D3">
        <w:rPr>
          <w:bCs/>
        </w:rPr>
        <w:t xml:space="preserve">10 lõike </w:t>
      </w:r>
      <w:r w:rsidR="00EF63D3" w:rsidRPr="00EF63D3">
        <w:rPr>
          <w:bCs/>
        </w:rPr>
        <w:t>3</w:t>
      </w:r>
      <w:r w:rsidR="00EF63D3">
        <w:rPr>
          <w:bCs/>
        </w:rPr>
        <w:t xml:space="preserve"> </w:t>
      </w:r>
      <w:r>
        <w:rPr>
          <w:bCs/>
        </w:rPr>
        <w:t xml:space="preserve">kohaselt </w:t>
      </w:r>
      <w:r w:rsidR="00404C5F" w:rsidRPr="00EF63D3">
        <w:rPr>
          <w:bCs/>
        </w:rPr>
        <w:t>ei tohi</w:t>
      </w:r>
      <w:r w:rsidR="00404C5F">
        <w:rPr>
          <w:bCs/>
        </w:rPr>
        <w:t xml:space="preserve"> </w:t>
      </w:r>
      <w:r w:rsidR="00EF63D3">
        <w:rPr>
          <w:bCs/>
        </w:rPr>
        <w:t>s</w:t>
      </w:r>
      <w:r w:rsidR="00EF63D3" w:rsidRPr="00EF63D3">
        <w:rPr>
          <w:bCs/>
        </w:rPr>
        <w:t xml:space="preserve">eemnepõllul esineda eelkultuurist pärit taimi, mille seemet on kasvava liigi ja sordi seemnest laborikatse käigus raske eraldada, samuti umbrohutaimi või teiste liikide taimi määral, mis võib mõjutada kasvava taimiku liigiehtsust ja -puhtust ning sordiehtsust ja </w:t>
      </w:r>
      <w:r>
        <w:rPr>
          <w:bCs/>
        </w:rPr>
        <w:t>–</w:t>
      </w:r>
      <w:r w:rsidR="00EF63D3" w:rsidRPr="00EF63D3">
        <w:rPr>
          <w:bCs/>
        </w:rPr>
        <w:t>puhtust</w:t>
      </w:r>
      <w:r>
        <w:rPr>
          <w:bCs/>
        </w:rPr>
        <w:t>,</w:t>
      </w:r>
      <w:r w:rsidR="00EF63D3" w:rsidRPr="00EF63D3">
        <w:rPr>
          <w:bCs/>
        </w:rPr>
        <w:t xml:space="preserve"> või määral, mis takistab põldtunnustamist.</w:t>
      </w:r>
      <w:r w:rsidR="00EF63D3">
        <w:rPr>
          <w:bCs/>
        </w:rPr>
        <w:t xml:space="preserve"> Selliseks umbrohutaimeks on </w:t>
      </w:r>
      <w:r w:rsidR="007E77CC">
        <w:rPr>
          <w:bCs/>
        </w:rPr>
        <w:t xml:space="preserve">ka </w:t>
      </w:r>
      <w:r w:rsidR="00EF63D3">
        <w:rPr>
          <w:bCs/>
        </w:rPr>
        <w:t>tuulekaer, mida tohib esineda põldtunnustamise ajal vaid üksikult või hõredalt ning mida saab põllult välja kitkuda koos võrsesõlmega</w:t>
      </w:r>
      <w:r w:rsidR="00380172">
        <w:rPr>
          <w:bCs/>
        </w:rPr>
        <w:t xml:space="preserve"> enne tuulek</w:t>
      </w:r>
      <w:r w:rsidR="00404C5F">
        <w:rPr>
          <w:bCs/>
        </w:rPr>
        <w:t>a</w:t>
      </w:r>
      <w:r w:rsidR="00380172">
        <w:rPr>
          <w:bCs/>
        </w:rPr>
        <w:t>erataime õitsemise algust</w:t>
      </w:r>
      <w:r w:rsidR="00EF63D3">
        <w:rPr>
          <w:bCs/>
        </w:rPr>
        <w:t>.</w:t>
      </w:r>
      <w:r w:rsidR="00380172">
        <w:rPr>
          <w:bCs/>
        </w:rPr>
        <w:t xml:space="preserve"> Juhul kui põllul esineb rohkem </w:t>
      </w:r>
      <w:r w:rsidR="00113C7C">
        <w:rPr>
          <w:bCs/>
        </w:rPr>
        <w:t>tuulekaera</w:t>
      </w:r>
      <w:r w:rsidR="00380172">
        <w:rPr>
          <w:bCs/>
        </w:rPr>
        <w:t xml:space="preserve">taimi, siis sellist põldu ei tunnustata. Hariliku kaera ja paljaskaera seemnepõllul on </w:t>
      </w:r>
      <w:r>
        <w:rPr>
          <w:bCs/>
        </w:rPr>
        <w:t xml:space="preserve">tuulekaera </w:t>
      </w:r>
      <w:r w:rsidR="00380172">
        <w:rPr>
          <w:bCs/>
        </w:rPr>
        <w:t xml:space="preserve">raske märgata ning nende kahe liigi </w:t>
      </w:r>
      <w:r w:rsidR="00B94313">
        <w:rPr>
          <w:bCs/>
        </w:rPr>
        <w:t>seemne</w:t>
      </w:r>
      <w:r w:rsidR="00380172">
        <w:rPr>
          <w:bCs/>
        </w:rPr>
        <w:t xml:space="preserve">põllul ei tohi </w:t>
      </w:r>
      <w:r w:rsidR="008C1C91">
        <w:rPr>
          <w:bCs/>
        </w:rPr>
        <w:t xml:space="preserve">põldtunnustamise </w:t>
      </w:r>
      <w:r>
        <w:rPr>
          <w:bCs/>
        </w:rPr>
        <w:t xml:space="preserve">ajal </w:t>
      </w:r>
      <w:r w:rsidR="00380172">
        <w:rPr>
          <w:bCs/>
        </w:rPr>
        <w:t>tuulekaera</w:t>
      </w:r>
      <w:r w:rsidR="00B94313">
        <w:rPr>
          <w:bCs/>
        </w:rPr>
        <w:t xml:space="preserve"> üldse esineda</w:t>
      </w:r>
      <w:r w:rsidR="00380172">
        <w:rPr>
          <w:bCs/>
        </w:rPr>
        <w:t>.</w:t>
      </w:r>
    </w:p>
    <w:p w14:paraId="7EE188AF" w14:textId="2D45A47A" w:rsidR="00380172" w:rsidRDefault="00380172" w:rsidP="00EF63D3">
      <w:pPr>
        <w:jc w:val="both"/>
        <w:rPr>
          <w:bCs/>
        </w:rPr>
      </w:pPr>
    </w:p>
    <w:p w14:paraId="63C39C62" w14:textId="18EF3B86" w:rsidR="00380172" w:rsidRDefault="00380172" w:rsidP="00EF63D3">
      <w:pPr>
        <w:jc w:val="both"/>
        <w:rPr>
          <w:bCs/>
        </w:rPr>
      </w:pPr>
      <w:r>
        <w:rPr>
          <w:bCs/>
        </w:rPr>
        <w:t>Teiseks tuulekaera esinemise hindamise etapiks on seemneproovi analüüs</w:t>
      </w:r>
      <w:r w:rsidR="00D279A1">
        <w:rPr>
          <w:bCs/>
        </w:rPr>
        <w:t>imine</w:t>
      </w:r>
      <w:r>
        <w:rPr>
          <w:bCs/>
        </w:rPr>
        <w:t xml:space="preserve">. Teraviljaseemne sertifitseerimise </w:t>
      </w:r>
      <w:r w:rsidR="007E77CC">
        <w:rPr>
          <w:bCs/>
        </w:rPr>
        <w:t xml:space="preserve">käigus </w:t>
      </w:r>
      <w:r>
        <w:rPr>
          <w:bCs/>
        </w:rPr>
        <w:t xml:space="preserve">võetakse </w:t>
      </w:r>
      <w:r w:rsidR="00BA1A21">
        <w:rPr>
          <w:bCs/>
        </w:rPr>
        <w:t xml:space="preserve">seemnepartiist </w:t>
      </w:r>
      <w:r w:rsidR="00E85E17">
        <w:t>s</w:t>
      </w:r>
      <w:r w:rsidR="00E85E17" w:rsidRPr="0012594B">
        <w:t>eemne kvaliteedi m</w:t>
      </w:r>
      <w:r w:rsidR="00E85E17">
        <w:t xml:space="preserve">ääramiseks </w:t>
      </w:r>
      <w:r w:rsidR="006349B6">
        <w:rPr>
          <w:bCs/>
        </w:rPr>
        <w:t>keskmi</w:t>
      </w:r>
      <w:r w:rsidR="005E093D">
        <w:rPr>
          <w:bCs/>
        </w:rPr>
        <w:t>n</w:t>
      </w:r>
      <w:r w:rsidR="006349B6">
        <w:rPr>
          <w:bCs/>
        </w:rPr>
        <w:t xml:space="preserve">e </w:t>
      </w:r>
      <w:r w:rsidR="005E093D">
        <w:rPr>
          <w:bCs/>
        </w:rPr>
        <w:t xml:space="preserve">proov </w:t>
      </w:r>
      <w:r w:rsidR="006349B6">
        <w:rPr>
          <w:bCs/>
        </w:rPr>
        <w:t xml:space="preserve">suurusega </w:t>
      </w:r>
      <w:r w:rsidR="008F4145">
        <w:rPr>
          <w:bCs/>
        </w:rPr>
        <w:t xml:space="preserve">vähemalt </w:t>
      </w:r>
      <w:r>
        <w:rPr>
          <w:bCs/>
        </w:rPr>
        <w:t xml:space="preserve">2000 grammi, millest </w:t>
      </w:r>
      <w:r w:rsidR="005E093D">
        <w:rPr>
          <w:bCs/>
        </w:rPr>
        <w:t xml:space="preserve">tööproovina </w:t>
      </w:r>
      <w:r w:rsidR="00BA1A21">
        <w:rPr>
          <w:bCs/>
        </w:rPr>
        <w:t xml:space="preserve">analüüsitakse </w:t>
      </w:r>
      <w:r>
        <w:rPr>
          <w:bCs/>
        </w:rPr>
        <w:t>500 grammi</w:t>
      </w:r>
      <w:r w:rsidR="00E85E17">
        <w:rPr>
          <w:bCs/>
        </w:rPr>
        <w:t xml:space="preserve"> suurune osa</w:t>
      </w:r>
      <w:r>
        <w:rPr>
          <w:bCs/>
        </w:rPr>
        <w:t xml:space="preserve">. Tuulekaera esinemise analüüs tehakse samuti </w:t>
      </w:r>
      <w:proofErr w:type="spellStart"/>
      <w:r w:rsidR="00B37B5D">
        <w:rPr>
          <w:bCs/>
        </w:rPr>
        <w:t>500-grammisest</w:t>
      </w:r>
      <w:proofErr w:type="spellEnd"/>
      <w:r w:rsidR="00B37B5D">
        <w:rPr>
          <w:bCs/>
        </w:rPr>
        <w:t xml:space="preserve"> </w:t>
      </w:r>
      <w:r w:rsidR="002E4103">
        <w:rPr>
          <w:bCs/>
        </w:rPr>
        <w:t>t</w:t>
      </w:r>
      <w:r w:rsidR="005E093D">
        <w:rPr>
          <w:bCs/>
        </w:rPr>
        <w:t>ööproovi</w:t>
      </w:r>
      <w:r w:rsidR="00B37B5D">
        <w:rPr>
          <w:bCs/>
        </w:rPr>
        <w:t>st</w:t>
      </w:r>
      <w:r>
        <w:rPr>
          <w:bCs/>
        </w:rPr>
        <w:t xml:space="preserve">. </w:t>
      </w:r>
    </w:p>
    <w:p w14:paraId="66E183D2" w14:textId="2C5E4D68" w:rsidR="00380172" w:rsidRDefault="00380172" w:rsidP="00EF63D3">
      <w:pPr>
        <w:jc w:val="both"/>
        <w:rPr>
          <w:bCs/>
        </w:rPr>
      </w:pPr>
    </w:p>
    <w:p w14:paraId="38CC5D02" w14:textId="2CCB4FBC" w:rsidR="00E85E17" w:rsidRDefault="00E85E17" w:rsidP="00EF63D3">
      <w:pPr>
        <w:jc w:val="both"/>
        <w:rPr>
          <w:bCs/>
        </w:rPr>
      </w:pPr>
      <w:r>
        <w:rPr>
          <w:b/>
        </w:rPr>
        <w:t>Eelnõu punkti</w:t>
      </w:r>
      <w:r w:rsidRPr="00ED6FDE">
        <w:rPr>
          <w:b/>
        </w:rPr>
        <w:t xml:space="preserve">ga </w:t>
      </w:r>
      <w:r>
        <w:rPr>
          <w:b/>
        </w:rPr>
        <w:t>1</w:t>
      </w:r>
      <w:r w:rsidRPr="00ED6FDE">
        <w:rPr>
          <w:b/>
        </w:rPr>
        <w:t xml:space="preserve"> </w:t>
      </w:r>
      <w:r>
        <w:t xml:space="preserve">täpsustatakse </w:t>
      </w:r>
      <w:r w:rsidR="003D15C2">
        <w:t xml:space="preserve">määruse nr 55 </w:t>
      </w:r>
      <w:r>
        <w:t>§ 12 lõiget 4</w:t>
      </w:r>
      <w:r w:rsidR="003D15C2">
        <w:t>, sätestades</w:t>
      </w:r>
      <w:r>
        <w:t>, et t</w:t>
      </w:r>
      <w:r w:rsidRPr="00BE69CC">
        <w:t>uulekaer</w:t>
      </w:r>
      <w:r>
        <w:t xml:space="preserve">aga saastatuse kahtluse korral </w:t>
      </w:r>
      <w:r w:rsidRPr="00BE69CC">
        <w:t>võetakse sertifitseeritavast seemnepartiist tuulekaerasisalduse määramiseks 3000 grammi suurune proov</w:t>
      </w:r>
      <w:r>
        <w:t>.</w:t>
      </w:r>
    </w:p>
    <w:p w14:paraId="53564FA4" w14:textId="26D24B91" w:rsidR="00EF63D3" w:rsidRDefault="00BA1A21" w:rsidP="000A7625">
      <w:pPr>
        <w:jc w:val="both"/>
        <w:rPr>
          <w:bCs/>
        </w:rPr>
      </w:pPr>
      <w:r>
        <w:rPr>
          <w:bCs/>
        </w:rPr>
        <w:t>K</w:t>
      </w:r>
      <w:r w:rsidR="00ED6FDE" w:rsidRPr="00ED6FDE">
        <w:rPr>
          <w:bCs/>
        </w:rPr>
        <w:t>omisjoni direktiivi 2006/47/EÜ, 23. mai 2006, milles sätestatakse eritingimused, mis käsitlevad tuulekaera esinemist teraviljaseemnes (</w:t>
      </w:r>
      <w:proofErr w:type="spellStart"/>
      <w:r w:rsidR="00ED6FDE" w:rsidRPr="00ED6FDE">
        <w:rPr>
          <w:bCs/>
        </w:rPr>
        <w:t>ELT</w:t>
      </w:r>
      <w:proofErr w:type="spellEnd"/>
      <w:r w:rsidR="00ED6FDE" w:rsidRPr="00ED6FDE">
        <w:rPr>
          <w:bCs/>
        </w:rPr>
        <w:t xml:space="preserve"> L 136 24.05.2006, lk 18–20)</w:t>
      </w:r>
      <w:r>
        <w:rPr>
          <w:bCs/>
        </w:rPr>
        <w:t>,</w:t>
      </w:r>
      <w:r w:rsidR="00ED6FDE" w:rsidRPr="00ED6FDE">
        <w:rPr>
          <w:bCs/>
        </w:rPr>
        <w:t xml:space="preserve"> artikli 1 </w:t>
      </w:r>
      <w:r>
        <w:rPr>
          <w:bCs/>
        </w:rPr>
        <w:t xml:space="preserve">kohaselt </w:t>
      </w:r>
      <w:r w:rsidR="00ED6FDE" w:rsidRPr="00ED6FDE">
        <w:rPr>
          <w:bCs/>
        </w:rPr>
        <w:t xml:space="preserve">võivad liikmesriigid anda taotluse </w:t>
      </w:r>
      <w:r w:rsidR="003D15C2">
        <w:rPr>
          <w:bCs/>
        </w:rPr>
        <w:t>alusel</w:t>
      </w:r>
      <w:r w:rsidR="003D15C2" w:rsidRPr="00ED6FDE">
        <w:rPr>
          <w:bCs/>
        </w:rPr>
        <w:t xml:space="preserve"> </w:t>
      </w:r>
      <w:r w:rsidR="00ED6FDE" w:rsidRPr="00ED6FDE">
        <w:rPr>
          <w:bCs/>
        </w:rPr>
        <w:t xml:space="preserve">välja direktiivi 66/402/EMÜ artikliga 11 ette nähtud </w:t>
      </w:r>
      <w:r w:rsidR="00ED6FDE" w:rsidRPr="00ED6FDE">
        <w:rPr>
          <w:bCs/>
        </w:rPr>
        <w:lastRenderedPageBreak/>
        <w:t>ametliku sertifikaadi kahel juhul</w:t>
      </w:r>
      <w:r w:rsidR="00CB2C08">
        <w:rPr>
          <w:bCs/>
        </w:rPr>
        <w:t>.</w:t>
      </w:r>
      <w:r w:rsidR="00ED6FDE" w:rsidRPr="00ED6FDE">
        <w:rPr>
          <w:bCs/>
        </w:rPr>
        <w:t xml:space="preserve"> </w:t>
      </w:r>
      <w:r w:rsidR="00CB2C08">
        <w:rPr>
          <w:bCs/>
        </w:rPr>
        <w:t>E</w:t>
      </w:r>
      <w:r w:rsidR="00ED6FDE" w:rsidRPr="00ED6FDE">
        <w:rPr>
          <w:bCs/>
        </w:rPr>
        <w:t>si</w:t>
      </w:r>
      <w:r w:rsidR="005E093D">
        <w:rPr>
          <w:bCs/>
        </w:rPr>
        <w:t xml:space="preserve">mesel juhul </w:t>
      </w:r>
      <w:r w:rsidR="00C6406E">
        <w:rPr>
          <w:bCs/>
        </w:rPr>
        <w:t>siis</w:t>
      </w:r>
      <w:r w:rsidR="00CB2C08">
        <w:rPr>
          <w:bCs/>
        </w:rPr>
        <w:t xml:space="preserve">, </w:t>
      </w:r>
      <w:r w:rsidR="00ED6FDE" w:rsidRPr="00ED6FDE">
        <w:rPr>
          <w:bCs/>
        </w:rPr>
        <w:t xml:space="preserve">kui põllukultuuri </w:t>
      </w:r>
      <w:r w:rsidR="003A05A8">
        <w:rPr>
          <w:bCs/>
        </w:rPr>
        <w:t xml:space="preserve">seemnepõllul </w:t>
      </w:r>
      <w:r w:rsidR="00ED6FDE" w:rsidRPr="00ED6FDE">
        <w:rPr>
          <w:bCs/>
        </w:rPr>
        <w:t xml:space="preserve">ei esine selle põldtunnustamise ajal tuulekaera ja vähemalt ühekilogrammises (edaspidi </w:t>
      </w:r>
      <w:proofErr w:type="spellStart"/>
      <w:r w:rsidR="00ED6FDE" w:rsidRPr="00113C7C">
        <w:rPr>
          <w:bCs/>
          <w:i/>
        </w:rPr>
        <w:t>1000</w:t>
      </w:r>
      <w:r w:rsidR="009E7A0A" w:rsidRPr="00113C7C">
        <w:rPr>
          <w:bCs/>
          <w:i/>
        </w:rPr>
        <w:t>-</w:t>
      </w:r>
      <w:r w:rsidR="00ED6FDE" w:rsidRPr="00113C7C">
        <w:rPr>
          <w:bCs/>
          <w:i/>
        </w:rPr>
        <w:t>grammi</w:t>
      </w:r>
      <w:r w:rsidR="003D15C2" w:rsidRPr="00113C7C">
        <w:rPr>
          <w:bCs/>
          <w:i/>
        </w:rPr>
        <w:t>ne</w:t>
      </w:r>
      <w:proofErr w:type="spellEnd"/>
      <w:r w:rsidR="00ED6FDE" w:rsidRPr="00ED6FDE">
        <w:rPr>
          <w:bCs/>
        </w:rPr>
        <w:t>) seemneproovis ei esine ametliku kontrollimise ajal tuulekaera. Teise</w:t>
      </w:r>
      <w:r w:rsidR="005E093D">
        <w:rPr>
          <w:bCs/>
        </w:rPr>
        <w:t>l</w:t>
      </w:r>
      <w:r w:rsidR="003A05A8">
        <w:rPr>
          <w:bCs/>
        </w:rPr>
        <w:t xml:space="preserve"> juhul</w:t>
      </w:r>
      <w:r w:rsidR="00C6406E">
        <w:rPr>
          <w:bCs/>
        </w:rPr>
        <w:t xml:space="preserve"> siis</w:t>
      </w:r>
      <w:r w:rsidR="000B3E16">
        <w:rPr>
          <w:bCs/>
        </w:rPr>
        <w:t>,</w:t>
      </w:r>
      <w:r w:rsidR="00ED6FDE" w:rsidRPr="00ED6FDE">
        <w:rPr>
          <w:bCs/>
        </w:rPr>
        <w:t xml:space="preserve"> kui vähemalt kolmekilogrammises (edaspidi </w:t>
      </w:r>
      <w:proofErr w:type="spellStart"/>
      <w:r w:rsidR="00ED6FDE" w:rsidRPr="00113C7C">
        <w:rPr>
          <w:bCs/>
          <w:i/>
        </w:rPr>
        <w:t>3000</w:t>
      </w:r>
      <w:r w:rsidR="009E7A0A" w:rsidRPr="00113C7C">
        <w:rPr>
          <w:bCs/>
          <w:i/>
        </w:rPr>
        <w:t>-</w:t>
      </w:r>
      <w:r w:rsidR="00ED6FDE" w:rsidRPr="00113C7C">
        <w:rPr>
          <w:bCs/>
          <w:i/>
        </w:rPr>
        <w:t>grammi</w:t>
      </w:r>
      <w:r w:rsidR="003D15C2" w:rsidRPr="00113C7C">
        <w:rPr>
          <w:bCs/>
          <w:i/>
        </w:rPr>
        <w:t>ne</w:t>
      </w:r>
      <w:proofErr w:type="spellEnd"/>
      <w:r w:rsidR="00ED6FDE" w:rsidRPr="00ED6FDE">
        <w:rPr>
          <w:bCs/>
        </w:rPr>
        <w:t xml:space="preserve">) seemneproovis ei esine ametliku kontrollimise ajal tuulekaera. </w:t>
      </w:r>
      <w:r w:rsidR="00380172">
        <w:rPr>
          <w:bCs/>
        </w:rPr>
        <w:t xml:space="preserve">Eestis </w:t>
      </w:r>
      <w:r w:rsidR="005E093D">
        <w:rPr>
          <w:bCs/>
        </w:rPr>
        <w:t xml:space="preserve">on seni </w:t>
      </w:r>
      <w:r w:rsidR="00380172">
        <w:rPr>
          <w:bCs/>
        </w:rPr>
        <w:t>rakendat</w:t>
      </w:r>
      <w:r w:rsidR="005E093D">
        <w:rPr>
          <w:bCs/>
        </w:rPr>
        <w:t>ud</w:t>
      </w:r>
      <w:r w:rsidR="00380172">
        <w:rPr>
          <w:bCs/>
        </w:rPr>
        <w:t xml:space="preserve"> võimalust, </w:t>
      </w:r>
      <w:r w:rsidR="005E093D">
        <w:rPr>
          <w:bCs/>
        </w:rPr>
        <w:t>mille kohaselt</w:t>
      </w:r>
      <w:r w:rsidR="00380172">
        <w:rPr>
          <w:bCs/>
        </w:rPr>
        <w:t xml:space="preserve"> põldtunnustamise ajal tuulekaera</w:t>
      </w:r>
      <w:r w:rsidR="006349B6">
        <w:rPr>
          <w:bCs/>
        </w:rPr>
        <w:t xml:space="preserve"> </w:t>
      </w:r>
      <w:r w:rsidR="005E093D">
        <w:rPr>
          <w:bCs/>
        </w:rPr>
        <w:t xml:space="preserve">esinemise korral </w:t>
      </w:r>
      <w:r w:rsidR="006349B6">
        <w:rPr>
          <w:bCs/>
        </w:rPr>
        <w:t>ning Põllumajandusameti</w:t>
      </w:r>
      <w:r w:rsidR="00F53CFE">
        <w:rPr>
          <w:bCs/>
        </w:rPr>
        <w:t xml:space="preserve"> (edaspidi </w:t>
      </w:r>
      <w:r w:rsidR="00F53CFE" w:rsidRPr="008C1C91">
        <w:rPr>
          <w:bCs/>
          <w:i/>
        </w:rPr>
        <w:t>PMA</w:t>
      </w:r>
      <w:r w:rsidR="00F53CFE">
        <w:rPr>
          <w:bCs/>
        </w:rPr>
        <w:t>)</w:t>
      </w:r>
      <w:r w:rsidR="005E093D">
        <w:rPr>
          <w:bCs/>
        </w:rPr>
        <w:t xml:space="preserve"> kahtluse korral</w:t>
      </w:r>
      <w:r w:rsidR="006349B6">
        <w:rPr>
          <w:bCs/>
        </w:rPr>
        <w:t xml:space="preserve">, et seemnepartii </w:t>
      </w:r>
      <w:r w:rsidR="00701AFF">
        <w:rPr>
          <w:bCs/>
        </w:rPr>
        <w:t xml:space="preserve">ei ole </w:t>
      </w:r>
      <w:r w:rsidR="006349B6">
        <w:rPr>
          <w:bCs/>
        </w:rPr>
        <w:t>tuulekaeravaba, analüüsitakse 3000 grammi</w:t>
      </w:r>
      <w:r w:rsidR="00E953D9">
        <w:rPr>
          <w:bCs/>
        </w:rPr>
        <w:t xml:space="preserve"> suuru</w:t>
      </w:r>
      <w:r w:rsidR="005E093D">
        <w:rPr>
          <w:bCs/>
        </w:rPr>
        <w:t>st seemneproovi</w:t>
      </w:r>
      <w:r w:rsidR="00E953D9">
        <w:rPr>
          <w:bCs/>
        </w:rPr>
        <w:t xml:space="preserve"> tuulekaera esinemise kindlakstegemiseks</w:t>
      </w:r>
      <w:r w:rsidR="006349B6">
        <w:rPr>
          <w:bCs/>
        </w:rPr>
        <w:t>.</w:t>
      </w:r>
    </w:p>
    <w:p w14:paraId="44FB984B" w14:textId="77777777" w:rsidR="003D1D91" w:rsidRDefault="003D1D91" w:rsidP="000A7625">
      <w:pPr>
        <w:jc w:val="both"/>
        <w:rPr>
          <w:bCs/>
        </w:rPr>
      </w:pPr>
    </w:p>
    <w:p w14:paraId="10852482" w14:textId="440C0AFE" w:rsidR="00885AE7" w:rsidRDefault="00EF63D3" w:rsidP="000A7625">
      <w:pPr>
        <w:jc w:val="both"/>
        <w:rPr>
          <w:bCs/>
        </w:rPr>
      </w:pPr>
      <w:r>
        <w:rPr>
          <w:bCs/>
        </w:rPr>
        <w:t xml:space="preserve">Eestis kantakse andmed analüüsitava seemneproovi kohta </w:t>
      </w:r>
      <w:r w:rsidR="00766878">
        <w:rPr>
          <w:bCs/>
        </w:rPr>
        <w:t>koos</w:t>
      </w:r>
      <w:r w:rsidR="00645CEA">
        <w:rPr>
          <w:bCs/>
        </w:rPr>
        <w:t xml:space="preserve"> </w:t>
      </w:r>
      <w:r w:rsidR="00766878">
        <w:rPr>
          <w:bCs/>
        </w:rPr>
        <w:t>analüüsitulemustega</w:t>
      </w:r>
      <w:r w:rsidR="00645CEA">
        <w:rPr>
          <w:bCs/>
        </w:rPr>
        <w:t xml:space="preserve"> </w:t>
      </w:r>
      <w:r>
        <w:rPr>
          <w:bCs/>
        </w:rPr>
        <w:t>seemne</w:t>
      </w:r>
      <w:r w:rsidR="00645CEA">
        <w:rPr>
          <w:bCs/>
        </w:rPr>
        <w:t>partii</w:t>
      </w:r>
      <w:r>
        <w:rPr>
          <w:bCs/>
        </w:rPr>
        <w:t xml:space="preserve"> analüüsiprotokolli ning </w:t>
      </w:r>
      <w:r w:rsidR="003D1D91">
        <w:rPr>
          <w:bCs/>
        </w:rPr>
        <w:t>analüüsit</w:t>
      </w:r>
      <w:r w:rsidR="00645CEA">
        <w:rPr>
          <w:bCs/>
        </w:rPr>
        <w:t>ud</w:t>
      </w:r>
      <w:r w:rsidR="003D1D91">
        <w:rPr>
          <w:bCs/>
        </w:rPr>
        <w:t xml:space="preserve"> seemnepartiis</w:t>
      </w:r>
      <w:r w:rsidR="00645CEA">
        <w:rPr>
          <w:bCs/>
        </w:rPr>
        <w:t>t</w:t>
      </w:r>
      <w:r w:rsidR="003D1D91">
        <w:rPr>
          <w:bCs/>
        </w:rPr>
        <w:t xml:space="preserve"> leitud </w:t>
      </w:r>
      <w:r>
        <w:rPr>
          <w:bCs/>
        </w:rPr>
        <w:t xml:space="preserve">tuulekaera </w:t>
      </w:r>
      <w:r w:rsidR="003D1D91">
        <w:rPr>
          <w:bCs/>
        </w:rPr>
        <w:t xml:space="preserve">esinemise </w:t>
      </w:r>
      <w:r w:rsidR="00CB20FB">
        <w:rPr>
          <w:bCs/>
        </w:rPr>
        <w:t xml:space="preserve">korral </w:t>
      </w:r>
      <w:r>
        <w:rPr>
          <w:bCs/>
        </w:rPr>
        <w:t xml:space="preserve">tehakse </w:t>
      </w:r>
      <w:r w:rsidR="00645CEA">
        <w:rPr>
          <w:bCs/>
        </w:rPr>
        <w:t xml:space="preserve">sinna </w:t>
      </w:r>
      <w:r w:rsidR="003D15C2">
        <w:rPr>
          <w:bCs/>
        </w:rPr>
        <w:t>lisa</w:t>
      </w:r>
      <w:r>
        <w:rPr>
          <w:bCs/>
        </w:rPr>
        <w:t xml:space="preserve">märkus seemne puhtuse kohta. </w:t>
      </w:r>
      <w:r w:rsidR="00645CEA">
        <w:rPr>
          <w:bCs/>
        </w:rPr>
        <w:t>A</w:t>
      </w:r>
      <w:r w:rsidR="003D1D91">
        <w:rPr>
          <w:bCs/>
        </w:rPr>
        <w:t xml:space="preserve">nalüüsiprotokolli </w:t>
      </w:r>
      <w:r w:rsidR="00E85E17">
        <w:rPr>
          <w:bCs/>
        </w:rPr>
        <w:t>andmete</w:t>
      </w:r>
      <w:r w:rsidR="00645CEA">
        <w:rPr>
          <w:bCs/>
        </w:rPr>
        <w:t xml:space="preserve"> </w:t>
      </w:r>
      <w:r w:rsidR="003D1D91">
        <w:rPr>
          <w:bCs/>
        </w:rPr>
        <w:t xml:space="preserve">ja </w:t>
      </w:r>
      <w:proofErr w:type="spellStart"/>
      <w:r w:rsidR="003D1D91">
        <w:rPr>
          <w:bCs/>
        </w:rPr>
        <w:t>järelkontrolli</w:t>
      </w:r>
      <w:proofErr w:type="spellEnd"/>
      <w:r w:rsidR="003D1D91">
        <w:rPr>
          <w:bCs/>
        </w:rPr>
        <w:t xml:space="preserve"> tulemuste </w:t>
      </w:r>
      <w:r w:rsidR="00645CEA">
        <w:rPr>
          <w:bCs/>
        </w:rPr>
        <w:t xml:space="preserve">alusel </w:t>
      </w:r>
      <w:r w:rsidR="003D1D91">
        <w:rPr>
          <w:bCs/>
        </w:rPr>
        <w:t xml:space="preserve">teeb PMA </w:t>
      </w:r>
      <w:r w:rsidR="00CB20FB">
        <w:rPr>
          <w:bCs/>
        </w:rPr>
        <w:t xml:space="preserve">(alates 1. jaanuarist 2021 Põllumajandus- ja Toiduamet) </w:t>
      </w:r>
      <w:r w:rsidR="003D1D91">
        <w:rPr>
          <w:bCs/>
        </w:rPr>
        <w:t>otsuse, kas seemnepartii sertifitseerida või mitte.</w:t>
      </w:r>
    </w:p>
    <w:p w14:paraId="089CFD93" w14:textId="77777777" w:rsidR="00ED6FDE" w:rsidRDefault="00ED6FDE" w:rsidP="000A7625">
      <w:pPr>
        <w:jc w:val="both"/>
        <w:rPr>
          <w:bCs/>
        </w:rPr>
      </w:pPr>
    </w:p>
    <w:p w14:paraId="7A232E70" w14:textId="165A4F13" w:rsidR="00CC347B" w:rsidRDefault="00CC347B" w:rsidP="00ED6FDE">
      <w:pPr>
        <w:jc w:val="both"/>
      </w:pPr>
      <w:r>
        <w:rPr>
          <w:b/>
        </w:rPr>
        <w:t>Eelnõu punkti</w:t>
      </w:r>
      <w:r w:rsidRPr="00ED6FDE">
        <w:rPr>
          <w:b/>
        </w:rPr>
        <w:t xml:space="preserve">ga </w:t>
      </w:r>
      <w:r>
        <w:rPr>
          <w:b/>
        </w:rPr>
        <w:t>2</w:t>
      </w:r>
      <w:r w:rsidRPr="00ED6FDE">
        <w:rPr>
          <w:b/>
        </w:rPr>
        <w:t xml:space="preserve"> </w:t>
      </w:r>
      <w:r>
        <w:t xml:space="preserve">täiendatakse </w:t>
      </w:r>
      <w:r w:rsidR="003D15C2">
        <w:t xml:space="preserve">määruse nr 55 </w:t>
      </w:r>
      <w:r>
        <w:t>§ 12 lõigetega 5 ja 6.</w:t>
      </w:r>
    </w:p>
    <w:p w14:paraId="50F51BD5" w14:textId="77777777" w:rsidR="00C35040" w:rsidRDefault="00C35040" w:rsidP="00ED6FDE">
      <w:pPr>
        <w:jc w:val="both"/>
      </w:pPr>
    </w:p>
    <w:p w14:paraId="0EA8133C" w14:textId="52097C5F" w:rsidR="0086171C" w:rsidRDefault="00CC347B" w:rsidP="00ED6FDE">
      <w:pPr>
        <w:jc w:val="both"/>
      </w:pPr>
      <w:r>
        <w:t>Lõikes 5 sätestatakse, et k</w:t>
      </w:r>
      <w:r w:rsidRPr="00CC347B">
        <w:t>ui tuulekaera</w:t>
      </w:r>
      <w:r>
        <w:t>ga saastatuse kahtlust ei esine</w:t>
      </w:r>
      <w:r w:rsidRPr="00CC347B">
        <w:t xml:space="preserve">, määratakse  sertifitseeritava seemnepartii tuulekaerasisaldus seemne kvaliteedi määramiseks võetud seemneproovist.   </w:t>
      </w:r>
      <w:r>
        <w:t xml:space="preserve"> </w:t>
      </w:r>
    </w:p>
    <w:p w14:paraId="6F4B367F" w14:textId="77777777" w:rsidR="00123996" w:rsidRDefault="00123996" w:rsidP="00123996">
      <w:pPr>
        <w:jc w:val="both"/>
        <w:rPr>
          <w:bCs/>
        </w:rPr>
      </w:pPr>
    </w:p>
    <w:p w14:paraId="3A154175" w14:textId="4FFB425C" w:rsidR="00123996" w:rsidRDefault="00123996" w:rsidP="00123996">
      <w:pPr>
        <w:jc w:val="both"/>
      </w:pPr>
      <w:r w:rsidRPr="00ED6FDE">
        <w:rPr>
          <w:bCs/>
        </w:rPr>
        <w:t>Eesti</w:t>
      </w:r>
      <w:r w:rsidR="003D15C2">
        <w:rPr>
          <w:bCs/>
        </w:rPr>
        <w:t>s</w:t>
      </w:r>
      <w:r w:rsidRPr="00ED6FDE">
        <w:rPr>
          <w:bCs/>
        </w:rPr>
        <w:t xml:space="preserve"> rakenda</w:t>
      </w:r>
      <w:r w:rsidR="003D15C2">
        <w:rPr>
          <w:bCs/>
        </w:rPr>
        <w:t>takse</w:t>
      </w:r>
      <w:r w:rsidRPr="00ED6FDE">
        <w:rPr>
          <w:bCs/>
        </w:rPr>
        <w:t xml:space="preserve"> tuulekaera tõrjemeetmeid</w:t>
      </w:r>
      <w:r>
        <w:rPr>
          <w:bCs/>
        </w:rPr>
        <w:t>,</w:t>
      </w:r>
      <w:r w:rsidRPr="00ED6FDE">
        <w:rPr>
          <w:bCs/>
        </w:rPr>
        <w:t xml:space="preserve"> </w:t>
      </w:r>
      <w:r>
        <w:rPr>
          <w:bCs/>
        </w:rPr>
        <w:t>mille hulka kuulub</w:t>
      </w:r>
      <w:r w:rsidRPr="00ED6FDE">
        <w:rPr>
          <w:bCs/>
        </w:rPr>
        <w:t xml:space="preserve"> tuulekaera </w:t>
      </w:r>
      <w:r>
        <w:rPr>
          <w:bCs/>
        </w:rPr>
        <w:t>esinemise hindamine</w:t>
      </w:r>
      <w:r w:rsidRPr="00ED6FDE">
        <w:rPr>
          <w:bCs/>
        </w:rPr>
        <w:t xml:space="preserve"> põldtunnustamise käigus</w:t>
      </w:r>
      <w:r>
        <w:rPr>
          <w:bCs/>
        </w:rPr>
        <w:t>.</w:t>
      </w:r>
      <w:r w:rsidRPr="00ED6FDE">
        <w:rPr>
          <w:bCs/>
        </w:rPr>
        <w:t xml:space="preserve"> </w:t>
      </w:r>
      <w:r>
        <w:rPr>
          <w:bCs/>
        </w:rPr>
        <w:t xml:space="preserve">Kui põllul ei ole varem tuulekaera esinenud ehk puudub tuulekaeraga saastatuse kahtlus, siis analüüsitakse sertifitseeritavast seemnepartiist võetud </w:t>
      </w:r>
      <w:r>
        <w:t xml:space="preserve">seemne kvaliteedi määramiseks võetud proovist </w:t>
      </w:r>
      <w:r>
        <w:rPr>
          <w:bCs/>
        </w:rPr>
        <w:t xml:space="preserve">500 grammi suurust osa. </w:t>
      </w:r>
      <w:r w:rsidRPr="00ED6FDE">
        <w:rPr>
          <w:bCs/>
        </w:rPr>
        <w:t xml:space="preserve"> </w:t>
      </w:r>
      <w:r>
        <w:rPr>
          <w:bCs/>
        </w:rPr>
        <w:t>T</w:t>
      </w:r>
      <w:r w:rsidRPr="00ED6FDE">
        <w:rPr>
          <w:bCs/>
        </w:rPr>
        <w:t>uulekaera esinemise kahtluse korral</w:t>
      </w:r>
      <w:r>
        <w:rPr>
          <w:bCs/>
        </w:rPr>
        <w:t xml:space="preserve">, kui põldtunnustamise tegemise </w:t>
      </w:r>
      <w:r w:rsidR="003D15C2">
        <w:rPr>
          <w:bCs/>
        </w:rPr>
        <w:t>ajal</w:t>
      </w:r>
      <w:r>
        <w:rPr>
          <w:bCs/>
        </w:rPr>
        <w:t xml:space="preserve"> esines põllul tuulekaera vähesel määral ning see eemaldati nõutud aja jooksul,</w:t>
      </w:r>
      <w:r w:rsidRPr="00ED6FDE">
        <w:rPr>
          <w:bCs/>
        </w:rPr>
        <w:t xml:space="preserve"> </w:t>
      </w:r>
      <w:r>
        <w:rPr>
          <w:bCs/>
        </w:rPr>
        <w:t xml:space="preserve">analüüsitakse sertifitseeritavast seemnepartiist võetud </w:t>
      </w:r>
      <w:r w:rsidRPr="00ED6FDE">
        <w:rPr>
          <w:bCs/>
        </w:rPr>
        <w:t xml:space="preserve">3000 </w:t>
      </w:r>
      <w:r>
        <w:rPr>
          <w:bCs/>
        </w:rPr>
        <w:t>grammi suurust proovi.</w:t>
      </w:r>
    </w:p>
    <w:p w14:paraId="5C1F9E93" w14:textId="77777777" w:rsidR="00113C7C" w:rsidRDefault="00113C7C" w:rsidP="00ED6FDE">
      <w:pPr>
        <w:jc w:val="both"/>
      </w:pPr>
    </w:p>
    <w:p w14:paraId="6DE0B6BF" w14:textId="109DE88F" w:rsidR="0086171C" w:rsidRDefault="00C35040" w:rsidP="00ED6FDE">
      <w:pPr>
        <w:jc w:val="both"/>
      </w:pPr>
      <w:r>
        <w:t xml:space="preserve">Seega võetakse </w:t>
      </w:r>
      <w:r w:rsidR="00123996">
        <w:t xml:space="preserve">seemnepartiist </w:t>
      </w:r>
      <w:r w:rsidR="003D15C2">
        <w:t xml:space="preserve">kokku </w:t>
      </w:r>
      <w:r>
        <w:t>4000 grammi suurune algproov, mille</w:t>
      </w:r>
      <w:r w:rsidR="002F5105">
        <w:t>st</w:t>
      </w:r>
      <w:r>
        <w:t xml:space="preserve"> 500 grammi</w:t>
      </w:r>
      <w:r w:rsidR="00123996">
        <w:t xml:space="preserve"> suuruses</w:t>
      </w:r>
      <w:r>
        <w:t xml:space="preserve"> osas analüüsitakse teiste liikide</w:t>
      </w:r>
      <w:r w:rsidR="00D863C3">
        <w:t xml:space="preserve"> esinemist ehk </w:t>
      </w:r>
      <w:r>
        <w:t xml:space="preserve"> </w:t>
      </w:r>
      <w:r w:rsidR="00123996">
        <w:t xml:space="preserve">lõppastmes </w:t>
      </w:r>
      <w:r>
        <w:t>seemnepartii puhtust</w:t>
      </w:r>
      <w:r w:rsidR="00123996">
        <w:t>.</w:t>
      </w:r>
      <w:r>
        <w:t xml:space="preserve"> </w:t>
      </w:r>
      <w:r w:rsidR="00123996">
        <w:t xml:space="preserve"> </w:t>
      </w:r>
      <w:r w:rsidR="00123996" w:rsidRPr="00DB1499">
        <w:t>L</w:t>
      </w:r>
      <w:r w:rsidRPr="00DB1499">
        <w:t xml:space="preserve">isaks analüüsitakse </w:t>
      </w:r>
      <w:r w:rsidR="008D5C24" w:rsidRPr="00DB1499">
        <w:t xml:space="preserve">seemneproovi </w:t>
      </w:r>
      <w:r w:rsidR="00D863C3">
        <w:t>3000</w:t>
      </w:r>
      <w:r w:rsidRPr="00DB1499">
        <w:t xml:space="preserve"> grammi</w:t>
      </w:r>
      <w:r w:rsidR="008D5C24" w:rsidRPr="00DB1499">
        <w:t xml:space="preserve"> suuruses</w:t>
      </w:r>
      <w:r w:rsidRPr="00DB1499">
        <w:t xml:space="preserve"> </w:t>
      </w:r>
      <w:r w:rsidR="00D863C3">
        <w:t>proov</w:t>
      </w:r>
      <w:bookmarkStart w:id="0" w:name="_GoBack"/>
      <w:bookmarkEnd w:id="0"/>
      <w:r w:rsidR="00D863C3">
        <w:t xml:space="preserve">is </w:t>
      </w:r>
      <w:r w:rsidRPr="00DB1499">
        <w:t xml:space="preserve"> tuulekaera esinemist  ning 1000 grammi suurune osa algproovist </w:t>
      </w:r>
      <w:r w:rsidR="00113C7C" w:rsidRPr="00DB1499">
        <w:t xml:space="preserve">kasutatakse </w:t>
      </w:r>
      <w:r w:rsidRPr="00DB1499">
        <w:t xml:space="preserve"> </w:t>
      </w:r>
      <w:proofErr w:type="spellStart"/>
      <w:r w:rsidRPr="00DB1499">
        <w:t>järelkontrollikatsesse</w:t>
      </w:r>
      <w:proofErr w:type="spellEnd"/>
      <w:r w:rsidRPr="00DB1499">
        <w:t>.</w:t>
      </w:r>
    </w:p>
    <w:p w14:paraId="083D30AC" w14:textId="77777777" w:rsidR="00123996" w:rsidRDefault="00123996" w:rsidP="00ED6FDE">
      <w:pPr>
        <w:jc w:val="both"/>
      </w:pPr>
    </w:p>
    <w:p w14:paraId="1C94FC6F" w14:textId="5F189347" w:rsidR="0086171C" w:rsidRDefault="0012752A" w:rsidP="00ED6FDE">
      <w:pPr>
        <w:jc w:val="both"/>
      </w:pPr>
      <w:r>
        <w:t>Lõikes</w:t>
      </w:r>
      <w:r w:rsidR="0086171C">
        <w:t xml:space="preserve"> 6 sätestatakse võimalus </w:t>
      </w:r>
      <w:r w:rsidR="000F2E05">
        <w:t xml:space="preserve">analüüsida </w:t>
      </w:r>
      <w:r w:rsidRPr="0086171C">
        <w:t xml:space="preserve">seemne pakendaja taotluse alusel </w:t>
      </w:r>
      <w:r>
        <w:t>tuulekaerasisaldust</w:t>
      </w:r>
      <w:r w:rsidR="0086171C">
        <w:t xml:space="preserve"> </w:t>
      </w:r>
      <w:r>
        <w:t>sertifitseeritavas seemnepartiis</w:t>
      </w:r>
      <w:r w:rsidR="0086171C" w:rsidRPr="0086171C">
        <w:t xml:space="preserve"> </w:t>
      </w:r>
      <w:r>
        <w:t>1000 või 3000 grammi suurus</w:t>
      </w:r>
      <w:r w:rsidR="0086171C">
        <w:t>e</w:t>
      </w:r>
      <w:r>
        <w:t>s</w:t>
      </w:r>
      <w:r w:rsidR="0086171C">
        <w:t xml:space="preserve"> proov</w:t>
      </w:r>
      <w:r>
        <w:t>is</w:t>
      </w:r>
      <w:r w:rsidR="000F2E05">
        <w:t xml:space="preserve"> juhul</w:t>
      </w:r>
      <w:r w:rsidR="0086171C">
        <w:t>,</w:t>
      </w:r>
      <w:r w:rsidR="0086171C" w:rsidRPr="0086171C">
        <w:t xml:space="preserve"> </w:t>
      </w:r>
      <w:r w:rsidR="0086171C">
        <w:t>k</w:t>
      </w:r>
      <w:r w:rsidR="0086171C" w:rsidRPr="0086171C">
        <w:t xml:space="preserve">ui </w:t>
      </w:r>
      <w:r>
        <w:t xml:space="preserve">ei esine seemnepartii </w:t>
      </w:r>
      <w:r w:rsidR="0086171C" w:rsidRPr="0086171C">
        <w:t>tuulekaerag</w:t>
      </w:r>
      <w:r w:rsidR="0086171C">
        <w:t>a saastatuse kahtlust.</w:t>
      </w:r>
    </w:p>
    <w:p w14:paraId="37573326" w14:textId="03FAC692" w:rsidR="00C35040" w:rsidRDefault="00C35040" w:rsidP="00ED6FDE">
      <w:pPr>
        <w:jc w:val="both"/>
      </w:pPr>
    </w:p>
    <w:p w14:paraId="030E8EF8" w14:textId="5EACAC6A" w:rsidR="00F53CFE" w:rsidRDefault="00F53CFE" w:rsidP="00ED6FDE">
      <w:pPr>
        <w:jc w:val="both"/>
      </w:pPr>
      <w:r>
        <w:t>Mõned</w:t>
      </w:r>
      <w:r w:rsidR="0045014A">
        <w:t xml:space="preserve"> riigid, nagu näiteks Soome ja Rootsi, nõuavad</w:t>
      </w:r>
      <w:r>
        <w:t xml:space="preserve"> seemnepartii turustamisel sertifikaati, mis tõendab </w:t>
      </w:r>
      <w:r w:rsidR="0045014A">
        <w:t>3000 grammi</w:t>
      </w:r>
      <w:r w:rsidR="00F71B92">
        <w:t xml:space="preserve"> suuru</w:t>
      </w:r>
      <w:r w:rsidR="0045014A">
        <w:t>s</w:t>
      </w:r>
      <w:r>
        <w:t>es</w:t>
      </w:r>
      <w:r w:rsidR="0045014A">
        <w:t>t</w:t>
      </w:r>
      <w:r>
        <w:t xml:space="preserve"> seemneproovist</w:t>
      </w:r>
      <w:r w:rsidR="0045014A">
        <w:t xml:space="preserve"> tuulekaera esinemi</w:t>
      </w:r>
      <w:r>
        <w:t>s</w:t>
      </w:r>
      <w:r w:rsidR="0045014A">
        <w:t>e</w:t>
      </w:r>
      <w:r>
        <w:t xml:space="preserve"> analüüsimist</w:t>
      </w:r>
      <w:r w:rsidR="0045014A">
        <w:t>.</w:t>
      </w:r>
      <w:r w:rsidR="008A0B96">
        <w:t xml:space="preserve"> Tuulekaeraga saastatuse kahtluse korral võetakse 3000 grammi suurune proov lõike 5 alusel. Kui proovi analüüsimise tulemusena selgub, et seemnepartiis tuulekaera ei esine, saab vastavat tulemust kajastava analüüsiprotokolli </w:t>
      </w:r>
      <w:r w:rsidR="007C0C52">
        <w:t>koos seemnepartii sertifitseerimise otsusega esitadagi seemnepartii turustamisel tõendava dokumendina.</w:t>
      </w:r>
      <w:r w:rsidR="0045014A">
        <w:t xml:space="preserve"> </w:t>
      </w:r>
    </w:p>
    <w:p w14:paraId="215F58B8" w14:textId="77777777" w:rsidR="00113C7C" w:rsidRDefault="00113C7C" w:rsidP="00ED6FDE">
      <w:pPr>
        <w:jc w:val="both"/>
      </w:pPr>
    </w:p>
    <w:p w14:paraId="6DA69161" w14:textId="14B4A506" w:rsidR="007C0C52" w:rsidRDefault="007C0C52" w:rsidP="00ED6FDE">
      <w:pPr>
        <w:jc w:val="both"/>
      </w:pPr>
      <w:r>
        <w:t xml:space="preserve">Kui </w:t>
      </w:r>
      <w:r w:rsidR="00BA18A2">
        <w:t xml:space="preserve">seemnepartii </w:t>
      </w:r>
      <w:r>
        <w:t>tuulekaeraga saastatuse kahtlust ei esine, kuid seemnete turustamise</w:t>
      </w:r>
      <w:r w:rsidR="00E17D88">
        <w:t>ks</w:t>
      </w:r>
      <w:r>
        <w:t xml:space="preserve"> on vaja dokumenti, mis tõendab 3000 grammi suurusest seemneproovist tuulekaera esinemise analüüsimist, on </w:t>
      </w:r>
      <w:r w:rsidR="00E17D88">
        <w:t xml:space="preserve">seemne pakendaja taotluse alusel võimalik võtta </w:t>
      </w:r>
      <w:r>
        <w:t xml:space="preserve">sellise suurusega proov </w:t>
      </w:r>
      <w:r w:rsidR="0012752A">
        <w:t>lõike 6 punkti 1 kohaselt</w:t>
      </w:r>
      <w:r>
        <w:t xml:space="preserve">. </w:t>
      </w:r>
    </w:p>
    <w:p w14:paraId="0ADDB761" w14:textId="77777777" w:rsidR="000718C9" w:rsidRDefault="000718C9" w:rsidP="00ED6FDE">
      <w:pPr>
        <w:jc w:val="both"/>
      </w:pPr>
    </w:p>
    <w:p w14:paraId="04B625EE" w14:textId="0B5E7576" w:rsidR="00ED6FDE" w:rsidRDefault="00A12674" w:rsidP="00ED6FDE">
      <w:pPr>
        <w:jc w:val="both"/>
      </w:pPr>
      <w:r>
        <w:t xml:space="preserve">Teiseks võimaluseks on </w:t>
      </w:r>
      <w:r w:rsidR="005C022A">
        <w:t xml:space="preserve">lõike 6 punkti 1 kohaselt analüüsida </w:t>
      </w:r>
      <w:r w:rsidR="005C347F">
        <w:t xml:space="preserve">seemne </w:t>
      </w:r>
      <w:r>
        <w:t>pakendaja taotluse alusel  1000 grammi suuru</w:t>
      </w:r>
      <w:r w:rsidR="00BA18A2">
        <w:t>st</w:t>
      </w:r>
      <w:r>
        <w:t xml:space="preserve"> </w:t>
      </w:r>
      <w:r w:rsidR="005C347F">
        <w:t>seemne</w:t>
      </w:r>
      <w:r>
        <w:t>proov</w:t>
      </w:r>
      <w:r w:rsidR="00BA18A2">
        <w:t>i</w:t>
      </w:r>
      <w:r>
        <w:t xml:space="preserve">. </w:t>
      </w:r>
      <w:r w:rsidR="00642FA4">
        <w:t>Ka s</w:t>
      </w:r>
      <w:r>
        <w:t xml:space="preserve">elle eelduseks on </w:t>
      </w:r>
      <w:r w:rsidR="00BA18A2">
        <w:t xml:space="preserve">seemnepartii </w:t>
      </w:r>
      <w:r w:rsidR="00642FA4">
        <w:t>tuulekaeraga saastatuse kahtluse puudumine</w:t>
      </w:r>
      <w:r>
        <w:t xml:space="preserve">, </w:t>
      </w:r>
      <w:r w:rsidR="00E17D88">
        <w:t>see tähendab,</w:t>
      </w:r>
      <w:r w:rsidR="00642FA4">
        <w:t xml:space="preserve"> </w:t>
      </w:r>
      <w:r>
        <w:t xml:space="preserve">et põldtunnustamise ajal ei esine põllul tuulekaera. </w:t>
      </w:r>
      <w:r w:rsidR="00ED6FDE">
        <w:t xml:space="preserve">Kehtiva määruse kohaselt hinnatakse tuulekaera esinemist </w:t>
      </w:r>
      <w:r w:rsidR="00FB64FF">
        <w:t xml:space="preserve">seemnepõllul </w:t>
      </w:r>
      <w:r w:rsidR="00ED6FDE">
        <w:t xml:space="preserve">põldtunnustamise ajal ja analüüsitavas proovis. </w:t>
      </w:r>
      <w:r w:rsidR="00642FA4">
        <w:t>Kui seemne pakendaja soovib tuulekaerasisalduse määramist 100</w:t>
      </w:r>
      <w:r w:rsidR="0091351D">
        <w:t>0</w:t>
      </w:r>
      <w:r w:rsidR="00642FA4">
        <w:t xml:space="preserve"> grammi suurusest proovist, võetakse l</w:t>
      </w:r>
      <w:r w:rsidR="00FB4DC6">
        <w:t xml:space="preserve">isaks </w:t>
      </w:r>
      <w:r w:rsidR="00642FA4">
        <w:t>lõike 5 kohasel</w:t>
      </w:r>
      <w:r w:rsidR="002552D7">
        <w:t>e</w:t>
      </w:r>
      <w:r w:rsidR="00642FA4">
        <w:t xml:space="preserve"> </w:t>
      </w:r>
      <w:r w:rsidR="00642FA4" w:rsidRPr="00642FA4">
        <w:t>seemne kvaliteedi m</w:t>
      </w:r>
      <w:r w:rsidR="000718C9">
        <w:t>ääramise</w:t>
      </w:r>
      <w:r w:rsidR="002552D7">
        <w:t xml:space="preserve">ks </w:t>
      </w:r>
      <w:r w:rsidR="002552D7">
        <w:lastRenderedPageBreak/>
        <w:t>võetud</w:t>
      </w:r>
      <w:r w:rsidR="000718C9">
        <w:t xml:space="preserve"> seemneproovile, mille suurus näiteks nisu korral on 500 grammi, </w:t>
      </w:r>
      <w:r w:rsidR="00FB4DC6">
        <w:t>veel 500 grammi</w:t>
      </w:r>
      <w:r w:rsidR="000718C9">
        <w:t xml:space="preserve"> suurune</w:t>
      </w:r>
      <w:r w:rsidR="00FB4DC6">
        <w:t xml:space="preserve"> </w:t>
      </w:r>
      <w:r w:rsidR="000718C9">
        <w:t xml:space="preserve">proov </w:t>
      </w:r>
      <w:r w:rsidR="00FB4DC6">
        <w:t>tuulekaera esinemise analüüs</w:t>
      </w:r>
      <w:r w:rsidR="000718C9">
        <w:t>imiseks</w:t>
      </w:r>
      <w:r w:rsidR="00FB4DC6">
        <w:t xml:space="preserve">. Juhul kui seemnepartiis esineb tuulekaera,  kantakse </w:t>
      </w:r>
      <w:r w:rsidR="00506E7D">
        <w:t xml:space="preserve">see teave </w:t>
      </w:r>
      <w:r w:rsidR="00FB4DC6">
        <w:t>analüüs</w:t>
      </w:r>
      <w:r w:rsidR="005C347F">
        <w:t>i</w:t>
      </w:r>
      <w:r w:rsidR="00FB4DC6">
        <w:t>protokolli ning PMA</w:t>
      </w:r>
      <w:r w:rsidR="00BA18A2">
        <w:t xml:space="preserve"> </w:t>
      </w:r>
      <w:r w:rsidR="00BA18A2">
        <w:rPr>
          <w:bCs/>
        </w:rPr>
        <w:t>(alates 1. jaanuarist 2021 Põllumajandus- ja Toiduamet)</w:t>
      </w:r>
      <w:r w:rsidR="00FB4DC6">
        <w:t xml:space="preserve"> </w:t>
      </w:r>
      <w:r w:rsidR="005C347F">
        <w:t xml:space="preserve">teeb </w:t>
      </w:r>
      <w:r w:rsidR="00FB4DC6">
        <w:t>otsus</w:t>
      </w:r>
      <w:r w:rsidR="005C347F">
        <w:t>e</w:t>
      </w:r>
      <w:r w:rsidR="00FB4DC6">
        <w:t xml:space="preserve"> </w:t>
      </w:r>
      <w:r w:rsidR="00B56480">
        <w:t xml:space="preserve">jätta </w:t>
      </w:r>
      <w:r w:rsidR="00FB4DC6">
        <w:t xml:space="preserve">seemnepartii </w:t>
      </w:r>
      <w:r w:rsidR="00B56480">
        <w:t>sertifitseerimata</w:t>
      </w:r>
      <w:r w:rsidR="00FB4DC6">
        <w:t>.</w:t>
      </w:r>
    </w:p>
    <w:p w14:paraId="5AD9D814" w14:textId="77777777" w:rsidR="00ED6FDE" w:rsidRDefault="00ED6FDE" w:rsidP="00ED6FDE">
      <w:pPr>
        <w:jc w:val="both"/>
      </w:pPr>
    </w:p>
    <w:p w14:paraId="72436613" w14:textId="2040BECE" w:rsidR="00ED6FDE" w:rsidRDefault="00ED6FDE" w:rsidP="00ED6FDE">
      <w:pPr>
        <w:jc w:val="both"/>
      </w:pPr>
      <w:r w:rsidRPr="00ED6FDE">
        <w:rPr>
          <w:b/>
        </w:rPr>
        <w:t xml:space="preserve">Eelnõu punktidega </w:t>
      </w:r>
      <w:r w:rsidR="00CC347B">
        <w:rPr>
          <w:b/>
        </w:rPr>
        <w:t>3</w:t>
      </w:r>
      <w:r w:rsidR="00CC347B" w:rsidRPr="00ED6FDE">
        <w:rPr>
          <w:b/>
        </w:rPr>
        <w:t xml:space="preserve"> </w:t>
      </w:r>
      <w:r w:rsidRPr="00ED6FDE">
        <w:rPr>
          <w:b/>
        </w:rPr>
        <w:t xml:space="preserve">ja </w:t>
      </w:r>
      <w:r w:rsidR="00CC347B">
        <w:rPr>
          <w:b/>
        </w:rPr>
        <w:t>4</w:t>
      </w:r>
      <w:r w:rsidR="00CC347B">
        <w:t xml:space="preserve"> </w:t>
      </w:r>
      <w:r>
        <w:t xml:space="preserve">täiendatakse määruse nr 55 lisa 4 </w:t>
      </w:r>
      <w:r w:rsidR="001E3C35">
        <w:t>„S</w:t>
      </w:r>
      <w:r>
        <w:t>eemneproovi suurused</w:t>
      </w:r>
      <w:r w:rsidR="001E3C35">
        <w:t>”</w:t>
      </w:r>
      <w:r>
        <w:t xml:space="preserve"> veer</w:t>
      </w:r>
      <w:r w:rsidR="00A21DB1">
        <w:t>g</w:t>
      </w:r>
      <w:r>
        <w:t>u 5 (Tööproovi kaal teiste liikide seemnete ja tungaltera (</w:t>
      </w:r>
      <w:proofErr w:type="spellStart"/>
      <w:r w:rsidRPr="006D473C">
        <w:rPr>
          <w:i/>
        </w:rPr>
        <w:t>Claviceps</w:t>
      </w:r>
      <w:proofErr w:type="spellEnd"/>
      <w:r w:rsidRPr="006D473C">
        <w:rPr>
          <w:i/>
        </w:rPr>
        <w:t xml:space="preserve"> </w:t>
      </w:r>
      <w:proofErr w:type="spellStart"/>
      <w:r w:rsidRPr="006D473C">
        <w:rPr>
          <w:i/>
        </w:rPr>
        <w:t>purpurea</w:t>
      </w:r>
      <w:proofErr w:type="spellEnd"/>
      <w:r>
        <w:t xml:space="preserve">) määramiseks) </w:t>
      </w:r>
      <w:proofErr w:type="spellStart"/>
      <w:r>
        <w:t>ülamärkusega</w:t>
      </w:r>
      <w:proofErr w:type="spellEnd"/>
      <w:r>
        <w:t xml:space="preserve"> 2, mille kohaselt võib </w:t>
      </w:r>
      <w:r w:rsidR="002E4103">
        <w:t xml:space="preserve">seemne pakendaja </w:t>
      </w:r>
      <w:r>
        <w:t xml:space="preserve">taotluse </w:t>
      </w:r>
      <w:r w:rsidR="0012752A">
        <w:t xml:space="preserve">alusel </w:t>
      </w:r>
      <w:r>
        <w:t>tuulekaera esinemist analüüsida 1000</w:t>
      </w:r>
      <w:r w:rsidR="00457D53">
        <w:t xml:space="preserve"> </w:t>
      </w:r>
      <w:r>
        <w:t>grammi</w:t>
      </w:r>
      <w:r w:rsidR="00457D53">
        <w:t xml:space="preserve"> suuru</w:t>
      </w:r>
      <w:r>
        <w:t>sest seemneproovist</w:t>
      </w:r>
      <w:r w:rsidR="006B1EA8">
        <w:t xml:space="preserve"> ehk tööproovist</w:t>
      </w:r>
      <w:r>
        <w:t>.</w:t>
      </w:r>
    </w:p>
    <w:p w14:paraId="58EF1A6B" w14:textId="77777777" w:rsidR="00ED6FDE" w:rsidRDefault="00ED6FDE" w:rsidP="002D6483">
      <w:pPr>
        <w:jc w:val="both"/>
        <w:rPr>
          <w:b/>
          <w:bCs/>
        </w:rPr>
      </w:pPr>
    </w:p>
    <w:p w14:paraId="36C965B2" w14:textId="1EAFCA42" w:rsidR="002D6483" w:rsidRDefault="002D6483" w:rsidP="002D6483">
      <w:pPr>
        <w:jc w:val="both"/>
        <w:rPr>
          <w:b/>
          <w:bCs/>
        </w:rPr>
      </w:pPr>
      <w:r w:rsidRPr="002D6483">
        <w:rPr>
          <w:b/>
          <w:bCs/>
        </w:rPr>
        <w:t>3. Eelnõu vastavus Euroopa Liidu õigusele</w:t>
      </w:r>
    </w:p>
    <w:p w14:paraId="674F2F69" w14:textId="77777777" w:rsidR="002D6483" w:rsidRDefault="002D6483" w:rsidP="002D6483">
      <w:pPr>
        <w:jc w:val="both"/>
        <w:rPr>
          <w:b/>
          <w:bCs/>
        </w:rPr>
      </w:pPr>
    </w:p>
    <w:p w14:paraId="578BB1F7" w14:textId="7351A49F" w:rsidR="002D6483" w:rsidRDefault="00AC11FF" w:rsidP="002D6483">
      <w:pPr>
        <w:jc w:val="both"/>
      </w:pPr>
      <w:r>
        <w:t>Eelnõu on kooskõlas kom</w:t>
      </w:r>
      <w:r w:rsidR="006A4D25">
        <w:t xml:space="preserve">isjoni </w:t>
      </w:r>
      <w:r w:rsidR="006D473C" w:rsidRPr="006D473C">
        <w:t>direktiivi</w:t>
      </w:r>
      <w:r w:rsidR="006D473C">
        <w:t>ga</w:t>
      </w:r>
      <w:r w:rsidR="006D473C" w:rsidRPr="006D473C">
        <w:t xml:space="preserve"> 2006/47/EÜ, 23. mai 2006, milles sätestatakse eritingimused, mis käsitlevad tuulekaera esinemist teraviljaseemnes (</w:t>
      </w:r>
      <w:proofErr w:type="spellStart"/>
      <w:r w:rsidR="006D473C" w:rsidRPr="006D473C">
        <w:t>ELT</w:t>
      </w:r>
      <w:proofErr w:type="spellEnd"/>
      <w:r w:rsidR="006D473C" w:rsidRPr="006D473C">
        <w:t xml:space="preserve"> L 136 24.05.2006, lk 18–20)</w:t>
      </w:r>
      <w:r w:rsidR="006D473C">
        <w:t>.</w:t>
      </w:r>
    </w:p>
    <w:p w14:paraId="51A23BFF" w14:textId="77777777" w:rsidR="006D473C" w:rsidRDefault="006D473C" w:rsidP="002D6483">
      <w:pPr>
        <w:jc w:val="both"/>
        <w:rPr>
          <w:b/>
          <w:bCs/>
        </w:rPr>
      </w:pPr>
    </w:p>
    <w:p w14:paraId="25374339" w14:textId="77777777" w:rsidR="002D6483" w:rsidRDefault="002D6483" w:rsidP="002D6483">
      <w:pPr>
        <w:jc w:val="both"/>
        <w:rPr>
          <w:b/>
          <w:bCs/>
        </w:rPr>
      </w:pPr>
      <w:r w:rsidRPr="002D6483">
        <w:rPr>
          <w:b/>
          <w:bCs/>
        </w:rPr>
        <w:t>4. Määruse mõjud</w:t>
      </w:r>
    </w:p>
    <w:p w14:paraId="541AAA29" w14:textId="77777777" w:rsidR="002D6483" w:rsidRDefault="002D6483" w:rsidP="002D6483">
      <w:pPr>
        <w:jc w:val="both"/>
        <w:rPr>
          <w:b/>
          <w:bCs/>
        </w:rPr>
      </w:pPr>
    </w:p>
    <w:p w14:paraId="4EAAEFDD" w14:textId="5DD2A85E" w:rsidR="00ED6FDE" w:rsidRPr="00ED6FDE" w:rsidRDefault="00ED6FDE" w:rsidP="00ED6FDE">
      <w:pPr>
        <w:jc w:val="both"/>
      </w:pPr>
      <w:r w:rsidRPr="00ED6FDE">
        <w:t xml:space="preserve">Määruse nr 55 muudatusega </w:t>
      </w:r>
      <w:r w:rsidR="00FB4DC6">
        <w:t>täpsustatakse seemnepartiis tuulekaera esinemise hindamis</w:t>
      </w:r>
      <w:r w:rsidR="005C347F">
        <w:t>eks</w:t>
      </w:r>
      <w:r w:rsidR="00FB4DC6">
        <w:t xml:space="preserve"> </w:t>
      </w:r>
      <w:r w:rsidR="00457D53">
        <w:t xml:space="preserve">võetava </w:t>
      </w:r>
      <w:r w:rsidR="005C347F">
        <w:t>seemne</w:t>
      </w:r>
      <w:r w:rsidR="00FB4DC6">
        <w:t xml:space="preserve">proovi suurust. </w:t>
      </w:r>
      <w:r w:rsidR="00FB4DC6" w:rsidRPr="005457F2">
        <w:t xml:space="preserve">Seemne pakendajal </w:t>
      </w:r>
      <w:r w:rsidRPr="005457F2">
        <w:t xml:space="preserve">võimaldatakse tellida tuulekaera analüüs 1000 grammi </w:t>
      </w:r>
      <w:r w:rsidR="00FB4DC6" w:rsidRPr="005457F2">
        <w:t xml:space="preserve">või 3000 grammi suurusest </w:t>
      </w:r>
      <w:r w:rsidRPr="005457F2">
        <w:t>seemneproovist</w:t>
      </w:r>
      <w:r w:rsidR="00FB4DC6" w:rsidRPr="005457F2">
        <w:t xml:space="preserve"> olenevalt sellest, kas tuulekaera põldtunnustamise ajal esines või mitte</w:t>
      </w:r>
      <w:r w:rsidRPr="005457F2">
        <w:t>.</w:t>
      </w:r>
      <w:r w:rsidRPr="00ED6FDE">
        <w:t xml:space="preserve"> </w:t>
      </w:r>
      <w:r w:rsidR="00D258B8">
        <w:t>Senise tavapärase praktika kohaselt</w:t>
      </w:r>
      <w:r w:rsidRPr="00ED6FDE">
        <w:t xml:space="preserve"> </w:t>
      </w:r>
      <w:r w:rsidR="005457F2">
        <w:t>analüüsiti</w:t>
      </w:r>
      <w:r w:rsidR="00D258B8">
        <w:t xml:space="preserve"> seemnepartii</w:t>
      </w:r>
      <w:r w:rsidR="005457F2">
        <w:t>st võetud</w:t>
      </w:r>
      <w:r w:rsidR="005C347F">
        <w:t xml:space="preserve"> </w:t>
      </w:r>
      <w:r w:rsidR="005C347F" w:rsidRPr="00ED6FDE">
        <w:t>3000 grammi</w:t>
      </w:r>
      <w:r w:rsidR="005457F2">
        <w:t xml:space="preserve"> </w:t>
      </w:r>
      <w:r w:rsidR="005C347F" w:rsidRPr="00ED6FDE">
        <w:t>s</w:t>
      </w:r>
      <w:r w:rsidR="005457F2">
        <w:t>uuru</w:t>
      </w:r>
      <w:r w:rsidR="005C347F" w:rsidRPr="00ED6FDE">
        <w:t>st seemneproovi</w:t>
      </w:r>
      <w:r w:rsidR="00D258B8">
        <w:t xml:space="preserve"> </w:t>
      </w:r>
      <w:r w:rsidR="005D7C74">
        <w:t>veendumaks, et tuulekaera ei esine</w:t>
      </w:r>
      <w:r w:rsidR="0012752A">
        <w:t>,</w:t>
      </w:r>
      <w:r w:rsidR="005D7C74">
        <w:t xml:space="preserve"> </w:t>
      </w:r>
      <w:r w:rsidR="005718D3">
        <w:t xml:space="preserve">ainult sel </w:t>
      </w:r>
      <w:r w:rsidR="005D7C74">
        <w:t>juhul</w:t>
      </w:r>
      <w:r w:rsidR="005718D3">
        <w:t>,</w:t>
      </w:r>
      <w:r w:rsidR="005D7C74">
        <w:t xml:space="preserve"> kui </w:t>
      </w:r>
      <w:r w:rsidR="00587CAD">
        <w:t xml:space="preserve">esines </w:t>
      </w:r>
      <w:r w:rsidR="0012752A">
        <w:t xml:space="preserve">seemnepartii </w:t>
      </w:r>
      <w:r w:rsidR="005D7C74">
        <w:t>tuulekaera</w:t>
      </w:r>
      <w:r w:rsidR="0012752A">
        <w:t>ga</w:t>
      </w:r>
      <w:r w:rsidR="005D7C74">
        <w:t xml:space="preserve"> saastatuse kahtlus</w:t>
      </w:r>
      <w:r w:rsidRPr="00ED6FDE">
        <w:t xml:space="preserve">. Muudatusega </w:t>
      </w:r>
      <w:r w:rsidR="00231596">
        <w:t>luuakse võimalus</w:t>
      </w:r>
      <w:r w:rsidRPr="00ED6FDE">
        <w:t xml:space="preserve"> tootjatel ise tellida analüüs kas 1000 või 3000</w:t>
      </w:r>
      <w:r w:rsidR="00231596">
        <w:t xml:space="preserve"> </w:t>
      </w:r>
      <w:r w:rsidRPr="00ED6FDE">
        <w:t>grammi</w:t>
      </w:r>
      <w:r w:rsidR="00231596">
        <w:t xml:space="preserve"> suuru</w:t>
      </w:r>
      <w:r w:rsidRPr="00ED6FDE">
        <w:t>sest seemneproovist</w:t>
      </w:r>
      <w:r w:rsidR="00231596">
        <w:t xml:space="preserve">, </w:t>
      </w:r>
      <w:r w:rsidR="00231596" w:rsidRPr="00ED6FDE">
        <w:t>sõltuvalt tuulekaera esinemise riskist</w:t>
      </w:r>
      <w:r w:rsidRPr="00ED6FDE">
        <w:t xml:space="preserve">. Paljud tootjad </w:t>
      </w:r>
      <w:r w:rsidR="00D258B8">
        <w:t xml:space="preserve">on </w:t>
      </w:r>
      <w:r w:rsidR="00231596">
        <w:t xml:space="preserve">siiani </w:t>
      </w:r>
      <w:r w:rsidR="00D258B8">
        <w:t>tellinud</w:t>
      </w:r>
      <w:r w:rsidR="00D258B8" w:rsidRPr="00ED6FDE">
        <w:t xml:space="preserve"> </w:t>
      </w:r>
      <w:r w:rsidRPr="00ED6FDE">
        <w:t xml:space="preserve">tuulekaera esinemise analüüsi </w:t>
      </w:r>
      <w:proofErr w:type="spellStart"/>
      <w:r w:rsidRPr="00ED6FDE">
        <w:t>3000</w:t>
      </w:r>
      <w:r w:rsidR="005C347F">
        <w:noBreakHyphen/>
      </w:r>
      <w:r w:rsidRPr="00ED6FDE">
        <w:t>grammisest</w:t>
      </w:r>
      <w:proofErr w:type="spellEnd"/>
      <w:r w:rsidRPr="00ED6FDE">
        <w:t xml:space="preserve"> seemneproovist, kuid muudatusega võimaldatakse tellida </w:t>
      </w:r>
      <w:r w:rsidR="00D258B8">
        <w:t xml:space="preserve">analüüs </w:t>
      </w:r>
      <w:r w:rsidRPr="00ED6FDE">
        <w:t xml:space="preserve">ka </w:t>
      </w:r>
      <w:proofErr w:type="spellStart"/>
      <w:r w:rsidRPr="00ED6FDE">
        <w:t>1000</w:t>
      </w:r>
      <w:r w:rsidR="005C347F">
        <w:noBreakHyphen/>
      </w:r>
      <w:r w:rsidRPr="00ED6FDE">
        <w:t>grammisest</w:t>
      </w:r>
      <w:proofErr w:type="spellEnd"/>
      <w:r w:rsidRPr="00ED6FDE">
        <w:t xml:space="preserve"> seemneproovist. </w:t>
      </w:r>
    </w:p>
    <w:p w14:paraId="0EC0D4A5" w14:textId="77777777" w:rsidR="00ED6FDE" w:rsidRPr="00ED6FDE" w:rsidRDefault="00ED6FDE" w:rsidP="00ED6FDE">
      <w:pPr>
        <w:jc w:val="both"/>
      </w:pPr>
    </w:p>
    <w:p w14:paraId="16AA6BE0" w14:textId="73A7F743" w:rsidR="00ED6FDE" w:rsidRPr="00ED6FDE" w:rsidRDefault="00ED6FDE" w:rsidP="00ED6FDE">
      <w:pPr>
        <w:jc w:val="both"/>
      </w:pPr>
      <w:r w:rsidRPr="00ED6FDE">
        <w:t>Määrus mõjutab seemnetootjaid</w:t>
      </w:r>
      <w:r w:rsidR="005D7C74">
        <w:t xml:space="preserve"> ja -</w:t>
      </w:r>
      <w:proofErr w:type="spellStart"/>
      <w:r w:rsidR="005D7C74">
        <w:t>pakendajaid</w:t>
      </w:r>
      <w:proofErr w:type="spellEnd"/>
      <w:r w:rsidR="00D258B8">
        <w:t>,</w:t>
      </w:r>
      <w:r w:rsidRPr="00ED6FDE">
        <w:t xml:space="preserve"> võimaldades neil endil hinnata tuulekaera </w:t>
      </w:r>
      <w:r w:rsidR="00D258B8">
        <w:t>esinemist</w:t>
      </w:r>
      <w:r w:rsidRPr="00ED6FDE">
        <w:t xml:space="preserve"> põllul ning lähtuvalt sellest tellida </w:t>
      </w:r>
      <w:r w:rsidR="00587CAD">
        <w:t>asjakohased</w:t>
      </w:r>
      <w:r w:rsidR="00587CAD" w:rsidRPr="00ED6FDE">
        <w:t xml:space="preserve"> </w:t>
      </w:r>
      <w:r w:rsidRPr="00ED6FDE">
        <w:t xml:space="preserve">analüüsid. </w:t>
      </w:r>
      <w:r w:rsidR="005D7C74">
        <w:t xml:space="preserve">Seemnete pakendaja, kellel on teave sertifitseeritava teraviljaseemne tootmiseks kasutatud põllu kohta, oskab hinnata tuulekaera esinemise võimalikkust kõige paremini ning sellest lähtuvalt saab tellida tuulekaera </w:t>
      </w:r>
      <w:r w:rsidR="005718D3">
        <w:t>võimalik</w:t>
      </w:r>
      <w:r w:rsidR="00587CAD">
        <w:t>k</w:t>
      </w:r>
      <w:r w:rsidR="005718D3">
        <w:t xml:space="preserve">u </w:t>
      </w:r>
      <w:r w:rsidR="005D7C74">
        <w:t>esinemist tõendava</w:t>
      </w:r>
      <w:r w:rsidR="00587CAD">
        <w:t xml:space="preserve"> asjakohase suurusega</w:t>
      </w:r>
      <w:r w:rsidR="005D7C74">
        <w:t xml:space="preserve"> analüüsi. Juhul kui </w:t>
      </w:r>
      <w:r w:rsidR="00587CAD">
        <w:t xml:space="preserve">tema põld </w:t>
      </w:r>
      <w:r w:rsidR="005D7C74">
        <w:t xml:space="preserve">on tuulekaeravaba, </w:t>
      </w:r>
      <w:r w:rsidR="00231596">
        <w:t xml:space="preserve">ei </w:t>
      </w:r>
      <w:r w:rsidR="006E575B">
        <w:t>ole</w:t>
      </w:r>
      <w:r w:rsidR="005D7C74">
        <w:t xml:space="preserve"> vajadust analüüsida tuulekaera esinemist 3000 grammi suurusest </w:t>
      </w:r>
      <w:r w:rsidR="005718D3">
        <w:t>seemne</w:t>
      </w:r>
      <w:r w:rsidR="005D7C74">
        <w:t xml:space="preserve">proovist. </w:t>
      </w:r>
      <w:r w:rsidRPr="00ED6FDE">
        <w:t xml:space="preserve">Väiksema </w:t>
      </w:r>
      <w:r w:rsidR="005718D3">
        <w:t xml:space="preserve">suurusega </w:t>
      </w:r>
      <w:r w:rsidRPr="00ED6FDE">
        <w:t xml:space="preserve">proovi analüüsi hind </w:t>
      </w:r>
      <w:r w:rsidR="005718D3">
        <w:t xml:space="preserve">on ka </w:t>
      </w:r>
      <w:r w:rsidRPr="00ED6FDE">
        <w:t xml:space="preserve">madalam. </w:t>
      </w:r>
      <w:r w:rsidR="006E575B">
        <w:t>Määruse muudatuse</w:t>
      </w:r>
      <w:r w:rsidR="006E575B" w:rsidRPr="00ED6FDE">
        <w:t xml:space="preserve"> </w:t>
      </w:r>
      <w:r w:rsidRPr="00ED6FDE">
        <w:t xml:space="preserve">tulemusena töötab Põllumajandusuuringute Keskus välja hinnakirja </w:t>
      </w:r>
      <w:proofErr w:type="spellStart"/>
      <w:r w:rsidRPr="00ED6FDE">
        <w:t>1000</w:t>
      </w:r>
      <w:r w:rsidR="005C347F">
        <w:noBreakHyphen/>
      </w:r>
      <w:r w:rsidRPr="00ED6FDE">
        <w:t>grammisest</w:t>
      </w:r>
      <w:proofErr w:type="spellEnd"/>
      <w:r w:rsidRPr="00ED6FDE">
        <w:t xml:space="preserve"> seemneproovist tuulekaera esinemise määramiseks.  </w:t>
      </w:r>
    </w:p>
    <w:p w14:paraId="32B50B7A" w14:textId="77777777" w:rsidR="00065152" w:rsidRDefault="00065152" w:rsidP="00065152">
      <w:pPr>
        <w:jc w:val="both"/>
        <w:rPr>
          <w:bCs/>
        </w:rPr>
      </w:pPr>
    </w:p>
    <w:p w14:paraId="7494965F" w14:textId="787D564A" w:rsid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r w:rsidR="005C347F">
        <w:rPr>
          <w:b/>
          <w:bCs/>
        </w:rPr>
        <w:t xml:space="preserve"> </w:t>
      </w:r>
      <w:r w:rsidRPr="002D6483">
        <w:rPr>
          <w:b/>
          <w:bCs/>
        </w:rPr>
        <w:t>rakendamise eeldatavad tulud</w:t>
      </w:r>
    </w:p>
    <w:p w14:paraId="0359B9BE" w14:textId="77777777" w:rsidR="002D6483" w:rsidRDefault="002D6483" w:rsidP="002D6483">
      <w:pPr>
        <w:jc w:val="both"/>
        <w:rPr>
          <w:b/>
          <w:bCs/>
        </w:rPr>
      </w:pPr>
    </w:p>
    <w:p w14:paraId="243771FC" w14:textId="77C7F0C6" w:rsidR="00AC11FF" w:rsidRDefault="00AC11FF" w:rsidP="00AC11FF">
      <w:pPr>
        <w:jc w:val="both"/>
      </w:pPr>
      <w:r>
        <w:t>Määruse rakendamise</w:t>
      </w:r>
      <w:r w:rsidR="006C47B7">
        <w:t>ga</w:t>
      </w:r>
      <w:r>
        <w:t xml:space="preserve"> </w:t>
      </w:r>
      <w:r w:rsidR="000E710A">
        <w:t xml:space="preserve">ei kaasne </w:t>
      </w:r>
      <w:r w:rsidR="006E575B">
        <w:t>lisa</w:t>
      </w:r>
      <w:r w:rsidR="000E710A">
        <w:t xml:space="preserve">kulusid. </w:t>
      </w:r>
    </w:p>
    <w:p w14:paraId="7E1CA0B7" w14:textId="77777777" w:rsidR="002D6483" w:rsidRDefault="002D6483" w:rsidP="002D6483">
      <w:pPr>
        <w:jc w:val="both"/>
        <w:rPr>
          <w:b/>
          <w:bCs/>
        </w:rPr>
      </w:pPr>
    </w:p>
    <w:p w14:paraId="2B4E9A52" w14:textId="77777777" w:rsidR="002D6483" w:rsidRDefault="002D6483" w:rsidP="002D6483">
      <w:pPr>
        <w:jc w:val="both"/>
        <w:rPr>
          <w:b/>
          <w:bCs/>
        </w:rPr>
      </w:pPr>
      <w:r w:rsidRPr="002D6483">
        <w:rPr>
          <w:b/>
          <w:bCs/>
        </w:rPr>
        <w:t>6. Määruse jõustumine</w:t>
      </w:r>
    </w:p>
    <w:p w14:paraId="01830FCA" w14:textId="77777777" w:rsidR="002D6483" w:rsidRPr="002D6483" w:rsidRDefault="002D6483" w:rsidP="002D6483">
      <w:pPr>
        <w:jc w:val="both"/>
        <w:rPr>
          <w:b/>
          <w:bCs/>
        </w:rPr>
      </w:pPr>
    </w:p>
    <w:p w14:paraId="2B92B97D" w14:textId="619C15F0" w:rsidR="00983DF6" w:rsidRDefault="00983DF6" w:rsidP="00983DF6">
      <w:pPr>
        <w:jc w:val="both"/>
      </w:pPr>
      <w:r>
        <w:rPr>
          <w:bCs/>
        </w:rPr>
        <w:t xml:space="preserve">Määrus jõustub üldises korras. </w:t>
      </w:r>
    </w:p>
    <w:p w14:paraId="7B6321CF" w14:textId="77777777" w:rsidR="002D6483" w:rsidRPr="002D6483" w:rsidRDefault="002D6483" w:rsidP="002D6483">
      <w:pPr>
        <w:jc w:val="both"/>
      </w:pPr>
    </w:p>
    <w:p w14:paraId="25150B6F" w14:textId="77777777" w:rsidR="002D6483" w:rsidRDefault="002D6483" w:rsidP="002D6483">
      <w:pPr>
        <w:jc w:val="both"/>
        <w:rPr>
          <w:b/>
          <w:bCs/>
        </w:rPr>
      </w:pPr>
      <w:r w:rsidRPr="002D6483">
        <w:rPr>
          <w:b/>
          <w:bCs/>
        </w:rPr>
        <w:t>7. Eelnõu kooskõlastamine, huvirühmade kaasamine ja avalik konsultatsioon</w:t>
      </w:r>
    </w:p>
    <w:p w14:paraId="33645B8B" w14:textId="77777777" w:rsidR="002D6483" w:rsidRPr="002D6483" w:rsidRDefault="002D6483" w:rsidP="002D6483">
      <w:pPr>
        <w:jc w:val="both"/>
        <w:rPr>
          <w:b/>
          <w:bCs/>
        </w:rPr>
      </w:pPr>
    </w:p>
    <w:p w14:paraId="5A87E982" w14:textId="6E51B90E" w:rsidR="000E1669" w:rsidRDefault="0080436E" w:rsidP="000E1669">
      <w:pPr>
        <w:jc w:val="both"/>
      </w:pPr>
      <w:r>
        <w:t xml:space="preserve">Eelnõu </w:t>
      </w:r>
      <w:r w:rsidR="00983DF6">
        <w:t>saadetakse arvamuse avaldamiseks MTÜ</w:t>
      </w:r>
      <w:r w:rsidR="004C6D7B">
        <w:t>-le</w:t>
      </w:r>
      <w:r w:rsidR="00983DF6">
        <w:t xml:space="preserve"> </w:t>
      </w:r>
      <w:r w:rsidR="00ED6FDE">
        <w:t xml:space="preserve">Eesti </w:t>
      </w:r>
      <w:r w:rsidR="00983DF6">
        <w:t>Seemnelii</w:t>
      </w:r>
      <w:r w:rsidR="004C6D7B">
        <w:t>t</w:t>
      </w:r>
      <w:r w:rsidR="00983DF6">
        <w:t>, Eesti Taimekasvatuse Instituudile, Põllumajandusametile ja Põllumajandusuuringute Keskusele</w:t>
      </w:r>
      <w:r w:rsidR="004C6D7B">
        <w:t xml:space="preserve"> ning </w:t>
      </w:r>
      <w:r w:rsidR="0012752A">
        <w:t xml:space="preserve">eelnõude infosüsteemi </w:t>
      </w:r>
      <w:proofErr w:type="spellStart"/>
      <w:r w:rsidR="0012752A">
        <w:t>EIS</w:t>
      </w:r>
      <w:proofErr w:type="spellEnd"/>
      <w:r w:rsidR="0012752A">
        <w:t xml:space="preserve"> kaudu </w:t>
      </w:r>
      <w:r w:rsidR="004C6D7B">
        <w:t xml:space="preserve">kooskõlastamiseks </w:t>
      </w:r>
      <w:r w:rsidR="00104B2A">
        <w:t>Keskkonnaministeeriumile.</w:t>
      </w:r>
      <w:r w:rsidR="00983DF6">
        <w:t xml:space="preserve"> </w:t>
      </w:r>
      <w:r w:rsidR="000E1669">
        <w:t xml:space="preserve"> </w:t>
      </w:r>
    </w:p>
    <w:p w14:paraId="2B16065B" w14:textId="77777777" w:rsidR="000E1669" w:rsidRDefault="000E1669" w:rsidP="000E1669">
      <w:pPr>
        <w:jc w:val="both"/>
      </w:pPr>
    </w:p>
    <w:p w14:paraId="06FE9AA4" w14:textId="77777777" w:rsidR="000E1669" w:rsidRDefault="000E1669" w:rsidP="000E1669">
      <w:pPr>
        <w:jc w:val="both"/>
      </w:pPr>
    </w:p>
    <w:p w14:paraId="707F474A" w14:textId="77777777" w:rsidR="000E1669" w:rsidRDefault="000E1669" w:rsidP="000E1669">
      <w:pPr>
        <w:jc w:val="both"/>
      </w:pPr>
    </w:p>
    <w:p w14:paraId="394716DB" w14:textId="77777777" w:rsidR="002454BF" w:rsidRPr="00335838" w:rsidRDefault="002454BF" w:rsidP="002454BF">
      <w:pPr>
        <w:pStyle w:val="Paragrahv"/>
        <w:rPr>
          <w:rFonts w:cs="Times New Roman"/>
          <w:b w:val="0"/>
        </w:rPr>
      </w:pPr>
    </w:p>
    <w:p w14:paraId="1AC1AFB2" w14:textId="5967760F" w:rsidR="0060581A" w:rsidRPr="002D6483" w:rsidRDefault="00091B9E" w:rsidP="00D00938">
      <w:pPr>
        <w:jc w:val="both"/>
      </w:pPr>
      <w:r>
        <w:t xml:space="preserve"> </w:t>
      </w:r>
    </w:p>
    <w:sectPr w:rsidR="0060581A" w:rsidRPr="002D6483" w:rsidSect="004D33AE">
      <w:pgSz w:w="11906" w:h="16838"/>
      <w:pgMar w:top="568" w:right="849" w:bottom="993" w:left="1800" w:header="708" w:footer="70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DD"/>
    <w:rsid w:val="000028E4"/>
    <w:rsid w:val="00007684"/>
    <w:rsid w:val="0001584C"/>
    <w:rsid w:val="00017A49"/>
    <w:rsid w:val="00020309"/>
    <w:rsid w:val="000224FF"/>
    <w:rsid w:val="000263E6"/>
    <w:rsid w:val="000307C1"/>
    <w:rsid w:val="0004192D"/>
    <w:rsid w:val="00041F92"/>
    <w:rsid w:val="000513D4"/>
    <w:rsid w:val="00051E86"/>
    <w:rsid w:val="00065152"/>
    <w:rsid w:val="000712C5"/>
    <w:rsid w:val="000718C9"/>
    <w:rsid w:val="000766F1"/>
    <w:rsid w:val="00091B9E"/>
    <w:rsid w:val="000A7625"/>
    <w:rsid w:val="000B3E16"/>
    <w:rsid w:val="000B692D"/>
    <w:rsid w:val="000B77CD"/>
    <w:rsid w:val="000E0352"/>
    <w:rsid w:val="000E1669"/>
    <w:rsid w:val="000E710A"/>
    <w:rsid w:val="000F0A02"/>
    <w:rsid w:val="000F2E05"/>
    <w:rsid w:val="000F3352"/>
    <w:rsid w:val="00104B2A"/>
    <w:rsid w:val="00113C7C"/>
    <w:rsid w:val="00123996"/>
    <w:rsid w:val="0012752A"/>
    <w:rsid w:val="00140470"/>
    <w:rsid w:val="00143D09"/>
    <w:rsid w:val="001558D4"/>
    <w:rsid w:val="00163DCE"/>
    <w:rsid w:val="001673FE"/>
    <w:rsid w:val="0018026D"/>
    <w:rsid w:val="001A29C3"/>
    <w:rsid w:val="001E3C35"/>
    <w:rsid w:val="001E77CD"/>
    <w:rsid w:val="001F641F"/>
    <w:rsid w:val="002152F9"/>
    <w:rsid w:val="00217EDD"/>
    <w:rsid w:val="002305CE"/>
    <w:rsid w:val="00231596"/>
    <w:rsid w:val="00243560"/>
    <w:rsid w:val="002454BF"/>
    <w:rsid w:val="00245B58"/>
    <w:rsid w:val="0024723F"/>
    <w:rsid w:val="00247745"/>
    <w:rsid w:val="00253106"/>
    <w:rsid w:val="002552D7"/>
    <w:rsid w:val="00256040"/>
    <w:rsid w:val="00266E05"/>
    <w:rsid w:val="00270623"/>
    <w:rsid w:val="00292430"/>
    <w:rsid w:val="002A5EBB"/>
    <w:rsid w:val="002A63A7"/>
    <w:rsid w:val="002B02B3"/>
    <w:rsid w:val="002B6BF1"/>
    <w:rsid w:val="002D2886"/>
    <w:rsid w:val="002D6483"/>
    <w:rsid w:val="002D712A"/>
    <w:rsid w:val="002D7EC4"/>
    <w:rsid w:val="002E1199"/>
    <w:rsid w:val="002E4103"/>
    <w:rsid w:val="002F5105"/>
    <w:rsid w:val="0030507A"/>
    <w:rsid w:val="00361995"/>
    <w:rsid w:val="00373CF5"/>
    <w:rsid w:val="00380172"/>
    <w:rsid w:val="003A05A8"/>
    <w:rsid w:val="003A0FA2"/>
    <w:rsid w:val="003A5D78"/>
    <w:rsid w:val="003B09DE"/>
    <w:rsid w:val="003B712F"/>
    <w:rsid w:val="003B7D48"/>
    <w:rsid w:val="003C762F"/>
    <w:rsid w:val="003D15C2"/>
    <w:rsid w:val="003D1D91"/>
    <w:rsid w:val="003D2CDB"/>
    <w:rsid w:val="003E2FDA"/>
    <w:rsid w:val="003F1CBD"/>
    <w:rsid w:val="00404C5F"/>
    <w:rsid w:val="00421BD8"/>
    <w:rsid w:val="004272C1"/>
    <w:rsid w:val="00444F10"/>
    <w:rsid w:val="0044725E"/>
    <w:rsid w:val="0045014A"/>
    <w:rsid w:val="00451A6C"/>
    <w:rsid w:val="00457D53"/>
    <w:rsid w:val="00474F5A"/>
    <w:rsid w:val="0049433D"/>
    <w:rsid w:val="004C0855"/>
    <w:rsid w:val="004C6D7B"/>
    <w:rsid w:val="004D1C8B"/>
    <w:rsid w:val="004D33AE"/>
    <w:rsid w:val="004F3F34"/>
    <w:rsid w:val="00506E7D"/>
    <w:rsid w:val="00544222"/>
    <w:rsid w:val="005457F2"/>
    <w:rsid w:val="005560E8"/>
    <w:rsid w:val="00557F75"/>
    <w:rsid w:val="00565889"/>
    <w:rsid w:val="005718D3"/>
    <w:rsid w:val="005850C1"/>
    <w:rsid w:val="00587CAD"/>
    <w:rsid w:val="005A70ED"/>
    <w:rsid w:val="005C022A"/>
    <w:rsid w:val="005C347F"/>
    <w:rsid w:val="005D5D02"/>
    <w:rsid w:val="005D7C74"/>
    <w:rsid w:val="005E093D"/>
    <w:rsid w:val="005F6E69"/>
    <w:rsid w:val="0060581A"/>
    <w:rsid w:val="006223C4"/>
    <w:rsid w:val="0063398B"/>
    <w:rsid w:val="006349B6"/>
    <w:rsid w:val="00642FA4"/>
    <w:rsid w:val="00645CEA"/>
    <w:rsid w:val="00646E31"/>
    <w:rsid w:val="00657526"/>
    <w:rsid w:val="0069358E"/>
    <w:rsid w:val="006A02A7"/>
    <w:rsid w:val="006A3DD7"/>
    <w:rsid w:val="006A4D25"/>
    <w:rsid w:val="006B1CA9"/>
    <w:rsid w:val="006B1EA8"/>
    <w:rsid w:val="006C47B7"/>
    <w:rsid w:val="006D473C"/>
    <w:rsid w:val="006E575B"/>
    <w:rsid w:val="006E57C8"/>
    <w:rsid w:val="00701AFF"/>
    <w:rsid w:val="00711428"/>
    <w:rsid w:val="007307E7"/>
    <w:rsid w:val="007372ED"/>
    <w:rsid w:val="00737474"/>
    <w:rsid w:val="007519BF"/>
    <w:rsid w:val="00766878"/>
    <w:rsid w:val="007858A8"/>
    <w:rsid w:val="007933BE"/>
    <w:rsid w:val="00795EC9"/>
    <w:rsid w:val="007A6159"/>
    <w:rsid w:val="007C0C52"/>
    <w:rsid w:val="007E43CD"/>
    <w:rsid w:val="007E70DA"/>
    <w:rsid w:val="007E77CC"/>
    <w:rsid w:val="0080436E"/>
    <w:rsid w:val="00810105"/>
    <w:rsid w:val="008143CC"/>
    <w:rsid w:val="008350C2"/>
    <w:rsid w:val="008418EA"/>
    <w:rsid w:val="0086008E"/>
    <w:rsid w:val="0086171C"/>
    <w:rsid w:val="00876362"/>
    <w:rsid w:val="00880748"/>
    <w:rsid w:val="008859EE"/>
    <w:rsid w:val="00885AE7"/>
    <w:rsid w:val="008906D0"/>
    <w:rsid w:val="00892B1C"/>
    <w:rsid w:val="00897A28"/>
    <w:rsid w:val="008A0B96"/>
    <w:rsid w:val="008A1B4B"/>
    <w:rsid w:val="008B3A55"/>
    <w:rsid w:val="008C1C91"/>
    <w:rsid w:val="008D5C24"/>
    <w:rsid w:val="008E4BE0"/>
    <w:rsid w:val="008F4145"/>
    <w:rsid w:val="0090099E"/>
    <w:rsid w:val="0091351D"/>
    <w:rsid w:val="00922D0A"/>
    <w:rsid w:val="009455D4"/>
    <w:rsid w:val="0095333F"/>
    <w:rsid w:val="00963456"/>
    <w:rsid w:val="00974FF2"/>
    <w:rsid w:val="00983DF6"/>
    <w:rsid w:val="00986789"/>
    <w:rsid w:val="009A3AC4"/>
    <w:rsid w:val="009B1152"/>
    <w:rsid w:val="009E16A0"/>
    <w:rsid w:val="009E5BD0"/>
    <w:rsid w:val="009E7A0A"/>
    <w:rsid w:val="009F3796"/>
    <w:rsid w:val="00A12674"/>
    <w:rsid w:val="00A21DB1"/>
    <w:rsid w:val="00A2660C"/>
    <w:rsid w:val="00A31893"/>
    <w:rsid w:val="00A9130D"/>
    <w:rsid w:val="00AC11FF"/>
    <w:rsid w:val="00AD03AA"/>
    <w:rsid w:val="00AE24F0"/>
    <w:rsid w:val="00AE54CB"/>
    <w:rsid w:val="00B07C71"/>
    <w:rsid w:val="00B330DF"/>
    <w:rsid w:val="00B37B5D"/>
    <w:rsid w:val="00B43995"/>
    <w:rsid w:val="00B55C76"/>
    <w:rsid w:val="00B56480"/>
    <w:rsid w:val="00B81D32"/>
    <w:rsid w:val="00B94313"/>
    <w:rsid w:val="00BA18A2"/>
    <w:rsid w:val="00BA1A21"/>
    <w:rsid w:val="00BA27BD"/>
    <w:rsid w:val="00BB12CF"/>
    <w:rsid w:val="00BB5AF9"/>
    <w:rsid w:val="00BE69CC"/>
    <w:rsid w:val="00BE74D0"/>
    <w:rsid w:val="00C35040"/>
    <w:rsid w:val="00C46FDD"/>
    <w:rsid w:val="00C545AF"/>
    <w:rsid w:val="00C55240"/>
    <w:rsid w:val="00C60593"/>
    <w:rsid w:val="00C61B1C"/>
    <w:rsid w:val="00C6406E"/>
    <w:rsid w:val="00CB20FB"/>
    <w:rsid w:val="00CB2C08"/>
    <w:rsid w:val="00CC228A"/>
    <w:rsid w:val="00CC347B"/>
    <w:rsid w:val="00CC669E"/>
    <w:rsid w:val="00CD1DE1"/>
    <w:rsid w:val="00CE3514"/>
    <w:rsid w:val="00D00938"/>
    <w:rsid w:val="00D2097C"/>
    <w:rsid w:val="00D237A4"/>
    <w:rsid w:val="00D258B8"/>
    <w:rsid w:val="00D279A1"/>
    <w:rsid w:val="00D5605B"/>
    <w:rsid w:val="00D5790C"/>
    <w:rsid w:val="00D673C2"/>
    <w:rsid w:val="00D67BBC"/>
    <w:rsid w:val="00D85CAC"/>
    <w:rsid w:val="00D863C3"/>
    <w:rsid w:val="00D86ECC"/>
    <w:rsid w:val="00DB1499"/>
    <w:rsid w:val="00DB1980"/>
    <w:rsid w:val="00DF142D"/>
    <w:rsid w:val="00E03976"/>
    <w:rsid w:val="00E14710"/>
    <w:rsid w:val="00E15D9D"/>
    <w:rsid w:val="00E17D88"/>
    <w:rsid w:val="00E209C1"/>
    <w:rsid w:val="00E74438"/>
    <w:rsid w:val="00E81CA6"/>
    <w:rsid w:val="00E8517B"/>
    <w:rsid w:val="00E85E17"/>
    <w:rsid w:val="00E953D9"/>
    <w:rsid w:val="00EA02F6"/>
    <w:rsid w:val="00EC190F"/>
    <w:rsid w:val="00ED6FDE"/>
    <w:rsid w:val="00EF3EB4"/>
    <w:rsid w:val="00EF63D3"/>
    <w:rsid w:val="00F036A9"/>
    <w:rsid w:val="00F30A6E"/>
    <w:rsid w:val="00F53CFE"/>
    <w:rsid w:val="00F65094"/>
    <w:rsid w:val="00F71B92"/>
    <w:rsid w:val="00F87A34"/>
    <w:rsid w:val="00F934C2"/>
    <w:rsid w:val="00FA7F23"/>
    <w:rsid w:val="00FB007B"/>
    <w:rsid w:val="00FB332D"/>
    <w:rsid w:val="00FB4DC6"/>
    <w:rsid w:val="00FB64FF"/>
    <w:rsid w:val="00FC5628"/>
    <w:rsid w:val="00FE3D29"/>
    <w:rsid w:val="00FE51D4"/>
    <w:rsid w:val="00FF44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0A860"/>
  <w15:docId w15:val="{193C3FB9-A8BD-4690-B90A-422258CF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rsid w:val="00007684"/>
    <w:rPr>
      <w:color w:val="0000FF" w:themeColor="hyperlink"/>
      <w:u w:val="single"/>
    </w:rPr>
  </w:style>
  <w:style w:type="character" w:styleId="CommentReference">
    <w:name w:val="annotation reference"/>
    <w:basedOn w:val="DefaultParagraphFont"/>
    <w:rsid w:val="0080436E"/>
    <w:rPr>
      <w:sz w:val="16"/>
      <w:szCs w:val="16"/>
    </w:rPr>
  </w:style>
  <w:style w:type="paragraph" w:styleId="CommentText">
    <w:name w:val="annotation text"/>
    <w:basedOn w:val="Normal"/>
    <w:link w:val="CommentTextChar"/>
    <w:uiPriority w:val="99"/>
    <w:rsid w:val="0080436E"/>
    <w:rPr>
      <w:sz w:val="20"/>
      <w:szCs w:val="20"/>
    </w:rPr>
  </w:style>
  <w:style w:type="character" w:customStyle="1" w:styleId="CommentTextChar">
    <w:name w:val="Comment Text Char"/>
    <w:basedOn w:val="DefaultParagraphFont"/>
    <w:link w:val="CommentText"/>
    <w:uiPriority w:val="99"/>
    <w:rsid w:val="0080436E"/>
    <w:rPr>
      <w:rFonts w:ascii="Times New Roman" w:hAnsi="Times New Roman"/>
      <w:lang w:eastAsia="en-US"/>
    </w:rPr>
  </w:style>
  <w:style w:type="paragraph" w:styleId="CommentSubject">
    <w:name w:val="annotation subject"/>
    <w:basedOn w:val="CommentText"/>
    <w:next w:val="CommentText"/>
    <w:link w:val="CommentSubjectChar"/>
    <w:rsid w:val="0080436E"/>
    <w:rPr>
      <w:b/>
      <w:bCs/>
    </w:rPr>
  </w:style>
  <w:style w:type="character" w:customStyle="1" w:styleId="CommentSubjectChar">
    <w:name w:val="Comment Subject Char"/>
    <w:basedOn w:val="CommentTextChar"/>
    <w:link w:val="CommentSubject"/>
    <w:rsid w:val="0080436E"/>
    <w:rPr>
      <w:rFonts w:ascii="Times New Roman" w:hAnsi="Times New Roman"/>
      <w:b/>
      <w:bCs/>
      <w:lang w:eastAsia="en-US"/>
    </w:rPr>
  </w:style>
  <w:style w:type="paragraph" w:styleId="BalloonText">
    <w:name w:val="Balloon Text"/>
    <w:basedOn w:val="Normal"/>
    <w:link w:val="BalloonTextChar"/>
    <w:rsid w:val="0080436E"/>
    <w:rPr>
      <w:rFonts w:ascii="Tahoma" w:hAnsi="Tahoma" w:cs="Tahoma"/>
      <w:sz w:val="16"/>
      <w:szCs w:val="16"/>
    </w:rPr>
  </w:style>
  <w:style w:type="character" w:customStyle="1" w:styleId="BalloonTextChar">
    <w:name w:val="Balloon Text Char"/>
    <w:basedOn w:val="DefaultParagraphFont"/>
    <w:link w:val="BalloonText"/>
    <w:rsid w:val="0080436E"/>
    <w:rPr>
      <w:rFonts w:ascii="Tahoma" w:hAnsi="Tahoma" w:cs="Tahoma"/>
      <w:sz w:val="16"/>
      <w:szCs w:val="16"/>
      <w:lang w:eastAsia="en-US"/>
    </w:rPr>
  </w:style>
  <w:style w:type="paragraph" w:customStyle="1" w:styleId="Paragrahv">
    <w:name w:val="Paragrahv"/>
    <w:basedOn w:val="Normal"/>
    <w:qFormat/>
    <w:rsid w:val="002454BF"/>
    <w:pPr>
      <w:autoSpaceDE/>
      <w:autoSpaceDN/>
      <w:jc w:val="both"/>
    </w:pPr>
    <w:rPr>
      <w:rFonts w:eastAsia="SimSun" w:cs="Mangal"/>
      <w:b/>
      <w:kern w:val="1"/>
      <w:lang w:eastAsia="zh-CN" w:bidi="hi-IN"/>
    </w:rPr>
  </w:style>
  <w:style w:type="paragraph" w:styleId="Revision">
    <w:name w:val="Revision"/>
    <w:hidden/>
    <w:uiPriority w:val="99"/>
    <w:semiHidden/>
    <w:rsid w:val="00A9130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2904">
      <w:bodyDiv w:val="1"/>
      <w:marLeft w:val="0"/>
      <w:marRight w:val="0"/>
      <w:marTop w:val="0"/>
      <w:marBottom w:val="0"/>
      <w:divBdr>
        <w:top w:val="none" w:sz="0" w:space="0" w:color="auto"/>
        <w:left w:val="none" w:sz="0" w:space="0" w:color="auto"/>
        <w:bottom w:val="none" w:sz="0" w:space="0" w:color="auto"/>
        <w:right w:val="none" w:sz="0" w:space="0" w:color="auto"/>
      </w:divBdr>
    </w:div>
    <w:div w:id="357051588">
      <w:bodyDiv w:val="1"/>
      <w:marLeft w:val="0"/>
      <w:marRight w:val="0"/>
      <w:marTop w:val="0"/>
      <w:marBottom w:val="0"/>
      <w:divBdr>
        <w:top w:val="none" w:sz="0" w:space="0" w:color="auto"/>
        <w:left w:val="none" w:sz="0" w:space="0" w:color="auto"/>
        <w:bottom w:val="none" w:sz="0" w:space="0" w:color="auto"/>
        <w:right w:val="none" w:sz="0" w:space="0" w:color="auto"/>
      </w:divBdr>
    </w:div>
    <w:div w:id="488600183">
      <w:bodyDiv w:val="1"/>
      <w:marLeft w:val="0"/>
      <w:marRight w:val="0"/>
      <w:marTop w:val="0"/>
      <w:marBottom w:val="0"/>
      <w:divBdr>
        <w:top w:val="none" w:sz="0" w:space="0" w:color="auto"/>
        <w:left w:val="none" w:sz="0" w:space="0" w:color="auto"/>
        <w:bottom w:val="none" w:sz="0" w:space="0" w:color="auto"/>
        <w:right w:val="none" w:sz="0" w:space="0" w:color="auto"/>
      </w:divBdr>
    </w:div>
    <w:div w:id="673653108">
      <w:bodyDiv w:val="1"/>
      <w:marLeft w:val="0"/>
      <w:marRight w:val="0"/>
      <w:marTop w:val="0"/>
      <w:marBottom w:val="0"/>
      <w:divBdr>
        <w:top w:val="none" w:sz="0" w:space="0" w:color="auto"/>
        <w:left w:val="none" w:sz="0" w:space="0" w:color="auto"/>
        <w:bottom w:val="none" w:sz="0" w:space="0" w:color="auto"/>
        <w:right w:val="none" w:sz="0" w:space="0" w:color="auto"/>
      </w:divBdr>
    </w:div>
    <w:div w:id="692537992">
      <w:bodyDiv w:val="1"/>
      <w:marLeft w:val="0"/>
      <w:marRight w:val="0"/>
      <w:marTop w:val="0"/>
      <w:marBottom w:val="0"/>
      <w:divBdr>
        <w:top w:val="none" w:sz="0" w:space="0" w:color="auto"/>
        <w:left w:val="none" w:sz="0" w:space="0" w:color="auto"/>
        <w:bottom w:val="none" w:sz="0" w:space="0" w:color="auto"/>
        <w:right w:val="none" w:sz="0" w:space="0" w:color="auto"/>
      </w:divBdr>
    </w:div>
    <w:div w:id="742917315">
      <w:bodyDiv w:val="1"/>
      <w:marLeft w:val="0"/>
      <w:marRight w:val="0"/>
      <w:marTop w:val="0"/>
      <w:marBottom w:val="0"/>
      <w:divBdr>
        <w:top w:val="none" w:sz="0" w:space="0" w:color="auto"/>
        <w:left w:val="none" w:sz="0" w:space="0" w:color="auto"/>
        <w:bottom w:val="none" w:sz="0" w:space="0" w:color="auto"/>
        <w:right w:val="none" w:sz="0" w:space="0" w:color="auto"/>
      </w:divBdr>
    </w:div>
    <w:div w:id="746655796">
      <w:bodyDiv w:val="1"/>
      <w:marLeft w:val="0"/>
      <w:marRight w:val="0"/>
      <w:marTop w:val="0"/>
      <w:marBottom w:val="0"/>
      <w:divBdr>
        <w:top w:val="none" w:sz="0" w:space="0" w:color="auto"/>
        <w:left w:val="none" w:sz="0" w:space="0" w:color="auto"/>
        <w:bottom w:val="none" w:sz="0" w:space="0" w:color="auto"/>
        <w:right w:val="none" w:sz="0" w:space="0" w:color="auto"/>
      </w:divBdr>
    </w:div>
    <w:div w:id="1671986565">
      <w:bodyDiv w:val="1"/>
      <w:marLeft w:val="0"/>
      <w:marRight w:val="0"/>
      <w:marTop w:val="0"/>
      <w:marBottom w:val="0"/>
      <w:divBdr>
        <w:top w:val="none" w:sz="0" w:space="0" w:color="auto"/>
        <w:left w:val="none" w:sz="0" w:space="0" w:color="auto"/>
        <w:bottom w:val="none" w:sz="0" w:space="0" w:color="auto"/>
        <w:right w:val="none" w:sz="0" w:space="0" w:color="auto"/>
      </w:divBdr>
    </w:div>
    <w:div w:id="1949122115">
      <w:bodyDiv w:val="1"/>
      <w:marLeft w:val="0"/>
      <w:marRight w:val="0"/>
      <w:marTop w:val="0"/>
      <w:marBottom w:val="0"/>
      <w:divBdr>
        <w:top w:val="none" w:sz="0" w:space="0" w:color="auto"/>
        <w:left w:val="none" w:sz="0" w:space="0" w:color="auto"/>
        <w:bottom w:val="none" w:sz="0" w:space="0" w:color="auto"/>
        <w:right w:val="none" w:sz="0" w:space="0" w:color="auto"/>
      </w:divBdr>
    </w:div>
    <w:div w:id="1972050621">
      <w:bodyDiv w:val="1"/>
      <w:marLeft w:val="0"/>
      <w:marRight w:val="0"/>
      <w:marTop w:val="0"/>
      <w:marBottom w:val="0"/>
      <w:divBdr>
        <w:top w:val="none" w:sz="0" w:space="0" w:color="auto"/>
        <w:left w:val="none" w:sz="0" w:space="0" w:color="auto"/>
        <w:bottom w:val="none" w:sz="0" w:space="0" w:color="auto"/>
        <w:right w:val="none" w:sz="0" w:space="0" w:color="auto"/>
      </w:divBdr>
    </w:div>
    <w:div w:id="21047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ni.kohal@agri.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i-liis.kivipold@agri.ee" TargetMode="External"/><Relationship Id="rId5" Type="http://schemas.openxmlformats.org/officeDocument/2006/relationships/hyperlink" Target="mailto:kristiina.digryte@agri.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3654-BCE8-4515-B376-E98D0846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8810</Characters>
  <Application>Microsoft Office Word</Application>
  <DocSecurity>0</DocSecurity>
  <Lines>73</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Tsaturjan</dc:creator>
  <cp:lastModifiedBy>Kristiina Digryte</cp:lastModifiedBy>
  <cp:revision>2</cp:revision>
  <cp:lastPrinted>2014-08-25T10:51:00Z</cp:lastPrinted>
  <dcterms:created xsi:type="dcterms:W3CDTF">2020-12-18T16:00:00Z</dcterms:created>
  <dcterms:modified xsi:type="dcterms:W3CDTF">2020-12-18T16:00:00Z</dcterms:modified>
</cp:coreProperties>
</file>