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2694"/>
      </w:tblGrid>
      <w:tr w:rsidR="00D40650" w14:paraId="30533254" w14:textId="77777777" w:rsidTr="002960E2">
        <w:trPr>
          <w:trHeight w:val="2353"/>
        </w:trPr>
        <w:tc>
          <w:tcPr>
            <w:tcW w:w="6237" w:type="dxa"/>
            <w:shd w:val="clear" w:color="auto" w:fill="auto"/>
          </w:tcPr>
          <w:p w14:paraId="05301B3C" w14:textId="1170B19B" w:rsidR="00D40650" w:rsidRPr="00A10E66" w:rsidRDefault="000B3F49" w:rsidP="00DF44DF">
            <w:pPr>
              <w:pStyle w:val="TableContents"/>
              <w:rPr>
                <w:b/>
              </w:rPr>
            </w:pPr>
            <w:r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61312" behindDoc="0" locked="0" layoutInCell="1" allowOverlap="1" wp14:anchorId="36545E97" wp14:editId="40AD75C2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944800" cy="957600"/>
                  <wp:effectExtent l="0" t="0" r="0" b="0"/>
                  <wp:wrapNone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maaeluministeerium_vapp_est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shd w:val="clear" w:color="auto" w:fill="auto"/>
          </w:tcPr>
          <w:p w14:paraId="313A9AD9" w14:textId="74966283" w:rsidR="00BC1A62" w:rsidRPr="00BC1A62" w:rsidRDefault="00BC1A62" w:rsidP="00D376AA">
            <w:pPr>
              <w:pStyle w:val="AK"/>
            </w:pPr>
          </w:p>
        </w:tc>
      </w:tr>
      <w:tr w:rsidR="0076054B" w:rsidRPr="001D4CFB" w14:paraId="444E936D" w14:textId="77777777" w:rsidTr="002960E2">
        <w:trPr>
          <w:trHeight w:val="1531"/>
        </w:trPr>
        <w:tc>
          <w:tcPr>
            <w:tcW w:w="6237" w:type="dxa"/>
            <w:shd w:val="clear" w:color="auto" w:fill="auto"/>
          </w:tcPr>
          <w:p w14:paraId="02BE7C8A" w14:textId="77777777" w:rsidR="0076054B" w:rsidRDefault="00B358EA" w:rsidP="00110BCA">
            <w:pPr>
              <w:pStyle w:val="Liik"/>
            </w:pPr>
            <w:r>
              <w:t>Määrus</w:t>
            </w:r>
          </w:p>
          <w:p w14:paraId="60BC5A33" w14:textId="77777777" w:rsidR="0076054B" w:rsidRPr="006B118C" w:rsidRDefault="0076054B" w:rsidP="0076054B"/>
          <w:p w14:paraId="34DD4CD8" w14:textId="44044533" w:rsidR="0076054B" w:rsidRPr="006B118C" w:rsidRDefault="0076054B" w:rsidP="0076054B"/>
        </w:tc>
        <w:tc>
          <w:tcPr>
            <w:tcW w:w="2694" w:type="dxa"/>
            <w:shd w:val="clear" w:color="auto" w:fill="auto"/>
          </w:tcPr>
          <w:p w14:paraId="28D9BDAE" w14:textId="3B5C863F" w:rsidR="0076054B" w:rsidRPr="0076054B" w:rsidRDefault="00D376AA" w:rsidP="001D46F0">
            <w:pPr>
              <w:pStyle w:val="Kuupev1"/>
              <w:rPr>
                <w:i/>
                <w:iCs/>
              </w:rPr>
            </w:pPr>
            <w:r>
              <w:rPr>
                <w:rFonts w:eastAsia="Times New Roman"/>
                <w:noProof/>
                <w:kern w:val="0"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9C5BBD" wp14:editId="011250C2">
                      <wp:simplePos x="0" y="0"/>
                      <wp:positionH relativeFrom="column">
                        <wp:posOffset>-86609</wp:posOffset>
                      </wp:positionH>
                      <wp:positionV relativeFrom="paragraph">
                        <wp:posOffset>-300769</wp:posOffset>
                      </wp:positionV>
                      <wp:extent cx="2067284" cy="445273"/>
                      <wp:effectExtent l="0" t="0" r="28575" b="1206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7284" cy="44527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D780C07" w14:textId="77777777" w:rsidR="00F07B9C" w:rsidRDefault="00F07B9C" w:rsidP="00F07B9C">
                                  <w:pPr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EELNÕU</w:t>
                                  </w:r>
                                </w:p>
                                <w:p w14:paraId="0172711B" w14:textId="6256C11A" w:rsidR="00F07B9C" w:rsidRDefault="003904CC" w:rsidP="00F07B9C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  <w:r w:rsidR="00F07B9C">
                                    <w:rPr>
                                      <w:sz w:val="20"/>
                                      <w:szCs w:val="20"/>
                                    </w:rPr>
                                    <w:t>.1</w:t>
                                  </w:r>
                                  <w:r w:rsidR="00A9543D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F07B9C">
                                    <w:rPr>
                                      <w:sz w:val="20"/>
                                      <w:szCs w:val="20"/>
                                    </w:rPr>
                                    <w:t>.2020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9C5B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6.8pt;margin-top:-23.7pt;width:162.8pt;height: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" fillcolor="window" strokecolor="window" strokeweight=".5pt">
                      <v:textbox>
                        <w:txbxContent>
                          <w:p w14:paraId="7D780C07" w14:textId="77777777" w:rsidR="00F07B9C" w:rsidRDefault="00F07B9C" w:rsidP="00F07B9C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EELNÕU</w:t>
                            </w:r>
                          </w:p>
                          <w:p w14:paraId="0172711B" w14:textId="6256C11A" w:rsidR="00F07B9C" w:rsidRDefault="003904CC" w:rsidP="00F07B9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</w:t>
                            </w:r>
                            <w:r w:rsidR="00F07B9C">
                              <w:rPr>
                                <w:sz w:val="20"/>
                                <w:szCs w:val="20"/>
                              </w:rPr>
                              <w:t>.1</w:t>
                            </w:r>
                            <w:r w:rsidR="00A9543D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F07B9C">
                              <w:rPr>
                                <w:sz w:val="20"/>
                                <w:szCs w:val="20"/>
                              </w:rPr>
                              <w:t>.2020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60E2">
              <w:rPr>
                <w:rFonts w:eastAsia="Times New Roman"/>
                <w:kern w:val="0"/>
                <w:lang w:eastAsia="et-EE" w:bidi="ar-SA"/>
              </w:rPr>
              <w:t>xx.xx</w:t>
            </w:r>
            <w:r w:rsidR="00E919E9">
              <w:rPr>
                <w:rFonts w:eastAsia="Times New Roman"/>
                <w:kern w:val="0"/>
                <w:lang w:eastAsia="et-EE" w:bidi="ar-SA"/>
              </w:rPr>
              <w:t>.</w:t>
            </w:r>
            <w:r w:rsidR="00564C11">
              <w:t>2020</w:t>
            </w:r>
            <w:r w:rsidR="00B45C1C">
              <w:t xml:space="preserve"> nr xx</w:t>
            </w:r>
          </w:p>
        </w:tc>
      </w:tr>
      <w:tr w:rsidR="00566D45" w:rsidRPr="00060782" w14:paraId="66385AC1" w14:textId="77777777" w:rsidTr="002960E2">
        <w:trPr>
          <w:trHeight w:val="497"/>
        </w:trPr>
        <w:tc>
          <w:tcPr>
            <w:tcW w:w="6237" w:type="dxa"/>
            <w:shd w:val="clear" w:color="auto" w:fill="auto"/>
          </w:tcPr>
          <w:p w14:paraId="157AA6EC" w14:textId="20803E3F" w:rsidR="00566D45" w:rsidRPr="00060782" w:rsidRDefault="00081DD7" w:rsidP="00B45C1C">
            <w:pPr>
              <w:pStyle w:val="Pealkiri1"/>
            </w:pPr>
            <w:r>
              <w:t>Ute ja kitse kasvatamise otsetoetus</w:t>
            </w:r>
          </w:p>
        </w:tc>
        <w:tc>
          <w:tcPr>
            <w:tcW w:w="2694" w:type="dxa"/>
            <w:shd w:val="clear" w:color="auto" w:fill="auto"/>
          </w:tcPr>
          <w:p w14:paraId="1D627BE9" w14:textId="1136EBEB" w:rsidR="00566D45" w:rsidRPr="00060782" w:rsidRDefault="00566D45" w:rsidP="00566D45">
            <w:r w:rsidRPr="00060782">
              <w:t xml:space="preserve"> </w:t>
            </w:r>
          </w:p>
        </w:tc>
      </w:tr>
      <w:tr w:rsidR="005732B7" w:rsidRPr="00060782" w14:paraId="1DA6D935" w14:textId="77777777" w:rsidTr="002960E2">
        <w:trPr>
          <w:trHeight w:val="60"/>
        </w:trPr>
        <w:tc>
          <w:tcPr>
            <w:tcW w:w="6237" w:type="dxa"/>
            <w:shd w:val="clear" w:color="auto" w:fill="auto"/>
          </w:tcPr>
          <w:p w14:paraId="7B03A7D9" w14:textId="77777777" w:rsidR="005732B7" w:rsidRPr="00060782" w:rsidRDefault="005732B7">
            <w:pPr>
              <w:pStyle w:val="Pealkiri1"/>
            </w:pPr>
          </w:p>
        </w:tc>
        <w:tc>
          <w:tcPr>
            <w:tcW w:w="2694" w:type="dxa"/>
            <w:shd w:val="clear" w:color="auto" w:fill="auto"/>
          </w:tcPr>
          <w:p w14:paraId="564B3115" w14:textId="77777777" w:rsidR="005732B7" w:rsidRPr="00060782" w:rsidRDefault="005732B7" w:rsidP="00566D45"/>
        </w:tc>
      </w:tr>
    </w:tbl>
    <w:p w14:paraId="2216E47A" w14:textId="28BB7AA3" w:rsidR="00C1004F" w:rsidRDefault="005E4F9D" w:rsidP="0033746D">
      <w:pPr>
        <w:pStyle w:val="Tekst"/>
      </w:pPr>
      <w:r w:rsidRPr="005E4F9D">
        <w:t>Määrus kehtestatakse Euroopa Liidu ühise põllumajanduspoliitika rakendamise seaduse §</w:t>
      </w:r>
      <w:r w:rsidR="0074485A">
        <w:t> </w:t>
      </w:r>
      <w:r w:rsidRPr="005E4F9D">
        <w:t>19 lõike</w:t>
      </w:r>
      <w:r w:rsidR="00F74794">
        <w:t> </w:t>
      </w:r>
      <w:r w:rsidRPr="005E4F9D">
        <w:t>2 ja §</w:t>
      </w:r>
      <w:r w:rsidR="00F74794">
        <w:t> </w:t>
      </w:r>
      <w:r w:rsidRPr="005E4F9D">
        <w:t>21 lõike</w:t>
      </w:r>
      <w:r w:rsidR="00F74794">
        <w:t> </w:t>
      </w:r>
      <w:r w:rsidRPr="005E4F9D">
        <w:t>2, Euroopa Parlamendi ja nõukogu määruse (EL) nr</w:t>
      </w:r>
      <w:r w:rsidR="00F74794">
        <w:t> </w:t>
      </w:r>
      <w:r w:rsidRPr="005E4F9D">
        <w:t>1307/2013, millega kehtestatakse ühise põllumajanduspoliitika raames toetuskavade alusel põllumajandustootjatele makstavate otsetoetuste eeskirjad ning tunnistatakse kehtetuks nõukogu määrused (EÜ) nr</w:t>
      </w:r>
      <w:r w:rsidR="005D5703">
        <w:t> </w:t>
      </w:r>
      <w:r w:rsidRPr="005E4F9D">
        <w:t>637/2008 ja (EÜ) nr</w:t>
      </w:r>
      <w:r w:rsidR="00F74794">
        <w:t> </w:t>
      </w:r>
      <w:r w:rsidRPr="005E4F9D">
        <w:t>73/2009 (ELT L 347, 20.12.2013, lk 608–670), artikli</w:t>
      </w:r>
      <w:r w:rsidR="00F74794">
        <w:t> </w:t>
      </w:r>
      <w:r w:rsidRPr="005E4F9D">
        <w:t>52 lõike</w:t>
      </w:r>
      <w:r w:rsidR="00F74794">
        <w:t> </w:t>
      </w:r>
      <w:r w:rsidRPr="005E4F9D">
        <w:t>1 ning komisjoni delegeeritud määruse (EL) nr</w:t>
      </w:r>
      <w:r w:rsidR="00F74794">
        <w:t> </w:t>
      </w:r>
      <w:r w:rsidRPr="005E4F9D">
        <w:t>639/2014, millega täiendatakse Euroopa Parlamendi ja nõukogu määrust (EL) nr</w:t>
      </w:r>
      <w:r w:rsidR="005D5703">
        <w:t> </w:t>
      </w:r>
      <w:r w:rsidRPr="005E4F9D">
        <w:t>1307/2013, millega kehtestatakse ühise põllumajanduspoliitika raames toetuskavade alusel põllumajandustootjatele makstavate otsetoetuste eeskirjad, ning muudetakse kõnealuse määruse X lisa (ELT L 181, 20.06.2014, lk</w:t>
      </w:r>
      <w:r w:rsidR="00F74794">
        <w:t> </w:t>
      </w:r>
      <w:r w:rsidRPr="005E4F9D">
        <w:t>1–47), artikli</w:t>
      </w:r>
      <w:r w:rsidR="005D5703">
        <w:t> </w:t>
      </w:r>
      <w:r w:rsidRPr="005E4F9D">
        <w:t>53 lõike</w:t>
      </w:r>
      <w:r w:rsidR="005D5703">
        <w:t> </w:t>
      </w:r>
      <w:r w:rsidRPr="005E4F9D">
        <w:t>1 alusel.</w:t>
      </w:r>
    </w:p>
    <w:p w14:paraId="7BE11F91" w14:textId="77777777" w:rsidR="005E4F9D" w:rsidRPr="00060782" w:rsidRDefault="005E4F9D" w:rsidP="0033746D">
      <w:pPr>
        <w:pStyle w:val="Tekst"/>
      </w:pPr>
    </w:p>
    <w:p w14:paraId="2AC0D31C" w14:textId="1DA9C96F" w:rsidR="00081DD7" w:rsidRDefault="00861044" w:rsidP="00081DD7">
      <w:pPr>
        <w:pStyle w:val="Tekst"/>
        <w:rPr>
          <w:b/>
        </w:rPr>
      </w:pPr>
      <w:r>
        <w:rPr>
          <w:b/>
        </w:rPr>
        <w:t xml:space="preserve">§ 1. </w:t>
      </w:r>
      <w:r w:rsidR="00081DD7" w:rsidRPr="00081DD7">
        <w:rPr>
          <w:b/>
        </w:rPr>
        <w:t>Reguleerimisala</w:t>
      </w:r>
    </w:p>
    <w:p w14:paraId="15A1563B" w14:textId="77777777" w:rsidR="00236BE8" w:rsidRPr="00081DD7" w:rsidRDefault="00236BE8" w:rsidP="00081DD7">
      <w:pPr>
        <w:pStyle w:val="Tekst"/>
        <w:rPr>
          <w:b/>
        </w:rPr>
      </w:pPr>
    </w:p>
    <w:p w14:paraId="4A6C2951" w14:textId="45100DDD" w:rsidR="00A61BFD" w:rsidRDefault="00081DD7" w:rsidP="00081DD7">
      <w:pPr>
        <w:pStyle w:val="Tekst"/>
      </w:pPr>
      <w:r>
        <w:t>Mä</w:t>
      </w:r>
      <w:r w:rsidR="00861044">
        <w:t>ärusega kehtestatakse ute ja kitse</w:t>
      </w:r>
      <w:r>
        <w:t xml:space="preserve"> kasvatamise otsetoetuse </w:t>
      </w:r>
      <w:r w:rsidR="0074485A">
        <w:t xml:space="preserve">(edaspidi </w:t>
      </w:r>
      <w:r w:rsidR="0074485A" w:rsidRPr="00236BE8">
        <w:rPr>
          <w:i/>
        </w:rPr>
        <w:t>toetus</w:t>
      </w:r>
      <w:r w:rsidR="0074485A">
        <w:t xml:space="preserve">) </w:t>
      </w:r>
      <w:r>
        <w:t>saamise täpsemad nõuded ning toetuse taotlemise ja taotluse menetlemise kord.</w:t>
      </w:r>
    </w:p>
    <w:p w14:paraId="0C14D387" w14:textId="4DB85693" w:rsidR="004B5F4F" w:rsidRDefault="004B5F4F" w:rsidP="0033746D">
      <w:pPr>
        <w:pStyle w:val="Tekst"/>
      </w:pPr>
    </w:p>
    <w:p w14:paraId="0EBD8B68" w14:textId="66D3BF8C" w:rsidR="00081DD7" w:rsidRDefault="00861044" w:rsidP="00081DD7">
      <w:pPr>
        <w:pStyle w:val="Tekst"/>
        <w:rPr>
          <w:b/>
        </w:rPr>
      </w:pPr>
      <w:r>
        <w:rPr>
          <w:b/>
        </w:rPr>
        <w:t xml:space="preserve">§ 2. </w:t>
      </w:r>
      <w:r w:rsidR="00081DD7" w:rsidRPr="00861044">
        <w:rPr>
          <w:b/>
        </w:rPr>
        <w:t>Nõuded toetuse taotlejale</w:t>
      </w:r>
    </w:p>
    <w:p w14:paraId="64684662" w14:textId="77777777" w:rsidR="00236BE8" w:rsidRPr="00861044" w:rsidRDefault="00236BE8" w:rsidP="00081DD7">
      <w:pPr>
        <w:pStyle w:val="Tekst"/>
        <w:rPr>
          <w:b/>
        </w:rPr>
      </w:pPr>
    </w:p>
    <w:p w14:paraId="1899CC4E" w14:textId="7E53025D" w:rsidR="00081DD7" w:rsidRDefault="00081DD7" w:rsidP="00081DD7">
      <w:pPr>
        <w:pStyle w:val="Tekst"/>
      </w:pPr>
      <w:r>
        <w:t xml:space="preserve">(1) </w:t>
      </w:r>
      <w:r w:rsidR="00114C21">
        <w:t xml:space="preserve">Toetust </w:t>
      </w:r>
      <w:r>
        <w:t>võib taotleda füüsiline või juriidiline isik või juriidilise isiku staatuseta isikute ühendus, kes vastab maaeluministri 17.</w:t>
      </w:r>
      <w:r w:rsidR="00F74794">
        <w:t> </w:t>
      </w:r>
      <w:r>
        <w:t>aprilli 2015.</w:t>
      </w:r>
      <w:r w:rsidR="005D5703">
        <w:t> </w:t>
      </w:r>
      <w:r>
        <w:t>a määruse nr</w:t>
      </w:r>
      <w:r w:rsidR="005D5703">
        <w:t> </w:t>
      </w:r>
      <w:r>
        <w:t>32 „Otsetoetuste saamise üldised nõuded, ühtne pindalatoetus, kliima</w:t>
      </w:r>
      <w:r w:rsidR="003C0322">
        <w:rPr>
          <w:bCs/>
        </w:rPr>
        <w:t>-</w:t>
      </w:r>
      <w:r>
        <w:t xml:space="preserve"> ja keskkonnatoetus ning noore põllumajandustootja toetus” §-s</w:t>
      </w:r>
      <w:r w:rsidR="0074485A">
        <w:t> </w:t>
      </w:r>
      <w:r>
        <w:t xml:space="preserve">2 sätestatud nõuetele (edaspidi </w:t>
      </w:r>
      <w:r w:rsidR="005D5703">
        <w:t xml:space="preserve">koos </w:t>
      </w:r>
      <w:r w:rsidRPr="00236BE8">
        <w:rPr>
          <w:i/>
        </w:rPr>
        <w:t>taotleja</w:t>
      </w:r>
      <w:r>
        <w:t>).</w:t>
      </w:r>
    </w:p>
    <w:p w14:paraId="5F3F96AA" w14:textId="77777777" w:rsidR="00081DD7" w:rsidRDefault="00081DD7" w:rsidP="00081DD7">
      <w:pPr>
        <w:pStyle w:val="Tekst"/>
      </w:pPr>
    </w:p>
    <w:p w14:paraId="2583D8CB" w14:textId="09D99781" w:rsidR="00081DD7" w:rsidRDefault="00081DD7" w:rsidP="00081DD7">
      <w:pPr>
        <w:pStyle w:val="Tekst"/>
      </w:pPr>
      <w:r>
        <w:t>(2) Toetust võib taotleda taotleja, kes põllumajandusloomade registri andmete kohaselt kasvatab taotluse esitamise kalendriaasta 2.</w:t>
      </w:r>
      <w:r w:rsidR="0074485A">
        <w:t> </w:t>
      </w:r>
      <w:r>
        <w:t>märtsist kuni 8.</w:t>
      </w:r>
      <w:r w:rsidR="0074485A">
        <w:t> </w:t>
      </w:r>
      <w:r>
        <w:t xml:space="preserve">maini </w:t>
      </w:r>
      <w:r w:rsidR="00861044">
        <w:t>vähemalt kümmet</w:t>
      </w:r>
      <w:r w:rsidR="00154320">
        <w:t> </w:t>
      </w:r>
      <w:r w:rsidR="00861044">
        <w:t>utte või emakitse</w:t>
      </w:r>
      <w:r>
        <w:t>.</w:t>
      </w:r>
    </w:p>
    <w:p w14:paraId="4E209FD7" w14:textId="77777777" w:rsidR="00081DD7" w:rsidRDefault="00081DD7" w:rsidP="00081DD7">
      <w:pPr>
        <w:pStyle w:val="Tekst"/>
      </w:pPr>
    </w:p>
    <w:p w14:paraId="54A0C881" w14:textId="60AA7715" w:rsidR="00081DD7" w:rsidRDefault="00861044" w:rsidP="00081DD7">
      <w:pPr>
        <w:pStyle w:val="Tekst"/>
        <w:rPr>
          <w:b/>
        </w:rPr>
      </w:pPr>
      <w:r>
        <w:rPr>
          <w:b/>
        </w:rPr>
        <w:t>§ 3. Nõuded loomade</w:t>
      </w:r>
      <w:r w:rsidR="00081DD7" w:rsidRPr="00861044">
        <w:rPr>
          <w:b/>
        </w:rPr>
        <w:t xml:space="preserve"> kohta</w:t>
      </w:r>
    </w:p>
    <w:p w14:paraId="06A74197" w14:textId="77777777" w:rsidR="005D5703" w:rsidRPr="00861044" w:rsidRDefault="005D5703" w:rsidP="00081DD7">
      <w:pPr>
        <w:pStyle w:val="Tekst"/>
        <w:rPr>
          <w:b/>
        </w:rPr>
      </w:pPr>
    </w:p>
    <w:p w14:paraId="372C450A" w14:textId="755C88E6" w:rsidR="006E53A8" w:rsidRDefault="006E53A8" w:rsidP="00861044">
      <w:pPr>
        <w:pStyle w:val="Tekst"/>
      </w:pPr>
      <w:bookmarkStart w:id="0" w:name="para3lg1"/>
      <w:bookmarkEnd w:id="0"/>
      <w:r>
        <w:t xml:space="preserve">Toetuse andmisel võetakse arvesse utt </w:t>
      </w:r>
      <w:r w:rsidR="00472365">
        <w:t>või</w:t>
      </w:r>
      <w:r>
        <w:t xml:space="preserve"> emakits, kes vastab mõlemale järgmisele nõudele:</w:t>
      </w:r>
    </w:p>
    <w:p w14:paraId="0E9017DD" w14:textId="16742B9D" w:rsidR="006E53A8" w:rsidRDefault="006E53A8" w:rsidP="00861044">
      <w:pPr>
        <w:pStyle w:val="Tekst"/>
      </w:pPr>
      <w:r>
        <w:t>1) ta on nõuetekohaselt identifitseeritud ja tema andmed on kantud nõuetekohaselt põllumajandusloomade registrisse;</w:t>
      </w:r>
    </w:p>
    <w:p w14:paraId="01B9EE32" w14:textId="22826432" w:rsidR="006E53A8" w:rsidRDefault="006E53A8" w:rsidP="00861044">
      <w:pPr>
        <w:pStyle w:val="Tekst"/>
      </w:pPr>
      <w:r>
        <w:t xml:space="preserve">2) ta on taotluse esitamise kalendriaasta </w:t>
      </w:r>
      <w:r w:rsidR="0087504D">
        <w:t xml:space="preserve">2. </w:t>
      </w:r>
      <w:r w:rsidR="004078EF">
        <w:t>märtsi</w:t>
      </w:r>
      <w:r>
        <w:t xml:space="preserve"> seisuga vähemalt </w:t>
      </w:r>
      <w:r w:rsidR="004078EF">
        <w:t>kümne kuu</w:t>
      </w:r>
      <w:r>
        <w:t xml:space="preserve"> vanune.</w:t>
      </w:r>
    </w:p>
    <w:p w14:paraId="33D2EFDE" w14:textId="77777777" w:rsidR="006E53A8" w:rsidRDefault="006E53A8" w:rsidP="00861044">
      <w:pPr>
        <w:pStyle w:val="Tekst"/>
      </w:pPr>
    </w:p>
    <w:p w14:paraId="64C1DE2E" w14:textId="77777777" w:rsidR="00081DD7" w:rsidRDefault="00081DD7" w:rsidP="00081DD7">
      <w:pPr>
        <w:pStyle w:val="Tekst"/>
      </w:pPr>
    </w:p>
    <w:p w14:paraId="7C7567FE" w14:textId="5B1C9007" w:rsidR="00081DD7" w:rsidRDefault="00DE370E" w:rsidP="00081DD7">
      <w:pPr>
        <w:pStyle w:val="Tekst"/>
        <w:rPr>
          <w:b/>
        </w:rPr>
      </w:pPr>
      <w:r>
        <w:rPr>
          <w:b/>
        </w:rPr>
        <w:lastRenderedPageBreak/>
        <w:t xml:space="preserve">§ 4. </w:t>
      </w:r>
      <w:r w:rsidR="00081DD7" w:rsidRPr="00861044">
        <w:rPr>
          <w:b/>
        </w:rPr>
        <w:t>Nõuded karja suuruse kohta</w:t>
      </w:r>
    </w:p>
    <w:p w14:paraId="71CE51BA" w14:textId="77777777" w:rsidR="00236BE8" w:rsidRPr="00861044" w:rsidRDefault="00236BE8" w:rsidP="00081DD7">
      <w:pPr>
        <w:pStyle w:val="Tekst"/>
        <w:rPr>
          <w:b/>
        </w:rPr>
      </w:pPr>
    </w:p>
    <w:p w14:paraId="3F2380F2" w14:textId="78C5CE86" w:rsidR="00081DD7" w:rsidRDefault="003F7ACF" w:rsidP="00081DD7">
      <w:pPr>
        <w:pStyle w:val="Tekst"/>
      </w:pPr>
      <w:r>
        <w:t xml:space="preserve">(1) </w:t>
      </w:r>
      <w:r w:rsidR="00081DD7">
        <w:t xml:space="preserve">Toetuse saamiseks peab taotleja § 2 lõikes 2 nimetatud ajavahemikul oma karjas vähemalt </w:t>
      </w:r>
      <w:r w:rsidR="00DE370E">
        <w:t>kümmet</w:t>
      </w:r>
      <w:r w:rsidR="00081DD7">
        <w:t xml:space="preserve"> §-s</w:t>
      </w:r>
      <w:r w:rsidR="00154320">
        <w:t> </w:t>
      </w:r>
      <w:r w:rsidR="00081DD7">
        <w:t xml:space="preserve">3 sätestatud nõuete kohast </w:t>
      </w:r>
      <w:r w:rsidR="00DE370E">
        <w:t>utte või emakitse</w:t>
      </w:r>
      <w:r w:rsidR="00081DD7">
        <w:t>.</w:t>
      </w:r>
    </w:p>
    <w:p w14:paraId="16C47F97" w14:textId="0901646E" w:rsidR="003F7ACF" w:rsidRDefault="003F7ACF" w:rsidP="00081DD7">
      <w:pPr>
        <w:pStyle w:val="Tekst"/>
      </w:pPr>
    </w:p>
    <w:p w14:paraId="15768D55" w14:textId="2CE08416" w:rsidR="003F7ACF" w:rsidRDefault="003F7ACF" w:rsidP="00081DD7">
      <w:pPr>
        <w:pStyle w:val="Tekst"/>
      </w:pPr>
      <w:r>
        <w:t xml:space="preserve">(2) Toetust antakse kuni 100 ute või emakitse </w:t>
      </w:r>
      <w:r w:rsidR="001E1072">
        <w:t>kohta</w:t>
      </w:r>
      <w:r>
        <w:t>.</w:t>
      </w:r>
    </w:p>
    <w:p w14:paraId="50169F8D" w14:textId="77777777" w:rsidR="00081DD7" w:rsidRDefault="00081DD7" w:rsidP="00081DD7">
      <w:pPr>
        <w:pStyle w:val="Tekst"/>
      </w:pPr>
    </w:p>
    <w:p w14:paraId="0EF3C3AF" w14:textId="0806B561" w:rsidR="00081DD7" w:rsidRDefault="00DE370E" w:rsidP="00081DD7">
      <w:pPr>
        <w:pStyle w:val="Tekst"/>
        <w:rPr>
          <w:b/>
        </w:rPr>
      </w:pPr>
      <w:r>
        <w:rPr>
          <w:b/>
        </w:rPr>
        <w:t xml:space="preserve">§ 5. </w:t>
      </w:r>
      <w:r w:rsidR="00081DD7" w:rsidRPr="00DE370E">
        <w:rPr>
          <w:b/>
        </w:rPr>
        <w:t>Karja suuruse arvutamine</w:t>
      </w:r>
    </w:p>
    <w:p w14:paraId="04691193" w14:textId="77777777" w:rsidR="00236BE8" w:rsidRPr="00DE370E" w:rsidRDefault="00236BE8" w:rsidP="00081DD7">
      <w:pPr>
        <w:pStyle w:val="Tekst"/>
        <w:rPr>
          <w:b/>
        </w:rPr>
      </w:pPr>
    </w:p>
    <w:p w14:paraId="38A6D3C9" w14:textId="285729F4" w:rsidR="00081DD7" w:rsidRDefault="00081DD7" w:rsidP="00081DD7">
      <w:pPr>
        <w:pStyle w:val="Tekst"/>
      </w:pPr>
      <w:r>
        <w:t>(1) Toetust antakse taotleja karjas § 2 lõikes 2 nimetatud ajavahemikul peetavate §-s</w:t>
      </w:r>
      <w:r w:rsidR="00154320">
        <w:t> </w:t>
      </w:r>
      <w:r>
        <w:t xml:space="preserve">3 sätestatud nõuete kohaste </w:t>
      </w:r>
      <w:r w:rsidR="00DE370E">
        <w:t>uttede ja emakitsede</w:t>
      </w:r>
      <w:r>
        <w:t xml:space="preserve"> arvu aritmeetilise keskmise alusel, mille arvutamisel võtab </w:t>
      </w:r>
      <w:r w:rsidR="00F74794">
        <w:t xml:space="preserve">Põllumajanduse Registrite ja Informatsiooni Amet (edaspidi </w:t>
      </w:r>
      <w:r w:rsidR="00F74794" w:rsidRPr="00CE06BE">
        <w:rPr>
          <w:i/>
          <w:iCs/>
        </w:rPr>
        <w:t>PRIA</w:t>
      </w:r>
      <w:r w:rsidR="00F74794">
        <w:t xml:space="preserve">) </w:t>
      </w:r>
      <w:r>
        <w:t>aluseks taotleja karjas peetavate §-s</w:t>
      </w:r>
      <w:r w:rsidR="00F74794">
        <w:t> </w:t>
      </w:r>
      <w:r>
        <w:t xml:space="preserve">3 sätestatud nõuete kohaste </w:t>
      </w:r>
      <w:r w:rsidR="00DE370E">
        <w:t>uttede ja emakitsede</w:t>
      </w:r>
      <w:r>
        <w:t xml:space="preserve"> arvu §</w:t>
      </w:r>
      <w:r w:rsidR="00F74794">
        <w:t> </w:t>
      </w:r>
      <w:r>
        <w:t>2 lõikes</w:t>
      </w:r>
      <w:r w:rsidR="00F74794">
        <w:t> </w:t>
      </w:r>
      <w:r>
        <w:t>2 nimetatud ajavahemiku igal päeval ning ümardab saadud tulemuse täisarvuni.</w:t>
      </w:r>
    </w:p>
    <w:p w14:paraId="73179D3C" w14:textId="77777777" w:rsidR="00081DD7" w:rsidRDefault="00081DD7" w:rsidP="00081DD7">
      <w:pPr>
        <w:pStyle w:val="Tekst"/>
      </w:pPr>
    </w:p>
    <w:p w14:paraId="6BF7F11E" w14:textId="74623471" w:rsidR="00081DD7" w:rsidRDefault="00081DD7" w:rsidP="00081DD7">
      <w:pPr>
        <w:pStyle w:val="Tekst"/>
      </w:pPr>
      <w:r>
        <w:t xml:space="preserve">(2) Karja suuruse arvutamisel võtab PRIA arvesse ka </w:t>
      </w:r>
      <w:r w:rsidR="00DE370E">
        <w:t>ute või emakitse</w:t>
      </w:r>
      <w:r>
        <w:t>, kelle suhtes esineb §</w:t>
      </w:r>
      <w:r w:rsidR="00F74794">
        <w:t> </w:t>
      </w:r>
      <w:r>
        <w:t>2 lõikes</w:t>
      </w:r>
      <w:r w:rsidR="00F74794">
        <w:t> </w:t>
      </w:r>
      <w:r>
        <w:t>2 nimetatud ajavahemikul vääramatu jõud või esinevad erandlikud asjaolud, sealhulgas järgmised asjaolud:</w:t>
      </w:r>
    </w:p>
    <w:p w14:paraId="21EA0283" w14:textId="18E4EEAE" w:rsidR="00081DD7" w:rsidRDefault="00081DD7" w:rsidP="00081DD7">
      <w:pPr>
        <w:pStyle w:val="Tekst"/>
      </w:pPr>
      <w:r>
        <w:t>1) esineb Euroopa Parlamendi ja nõukogu määruse (EL) nr</w:t>
      </w:r>
      <w:r w:rsidR="00154320">
        <w:t> </w:t>
      </w:r>
      <w:r>
        <w:t>1306/2013 ühise põllumajanduspoliitika rahastamise, haldamise ja seire kohta ning millega tunnistatakse kehtetuks nõukogu määrused (EMÜ) nr</w:t>
      </w:r>
      <w:r w:rsidR="00154320">
        <w:t> </w:t>
      </w:r>
      <w:r>
        <w:t>352/78, (EÜ) nr</w:t>
      </w:r>
      <w:r w:rsidR="00154320">
        <w:t> </w:t>
      </w:r>
      <w:r>
        <w:t>165/94, (EÜ) nr</w:t>
      </w:r>
      <w:r w:rsidR="00154320">
        <w:t> </w:t>
      </w:r>
      <w:r>
        <w:t>2799/98, (EÜ) nr</w:t>
      </w:r>
      <w:r w:rsidR="00F74794">
        <w:t> </w:t>
      </w:r>
      <w:r>
        <w:t>814/2000, (EÜ) nr</w:t>
      </w:r>
      <w:r w:rsidR="00154320">
        <w:t> </w:t>
      </w:r>
      <w:r>
        <w:t>1290/2005 ja (EÜ) nr 485/2008 (ELT L 347, 20.12.2013, lk</w:t>
      </w:r>
      <w:r w:rsidR="00F74794">
        <w:t> </w:t>
      </w:r>
      <w:r>
        <w:t>549–607) artikli</w:t>
      </w:r>
      <w:r w:rsidR="00F74794">
        <w:t> </w:t>
      </w:r>
      <w:r>
        <w:t>2 lõikes</w:t>
      </w:r>
      <w:r w:rsidR="00F74794">
        <w:t> </w:t>
      </w:r>
      <w:r>
        <w:t>2 nimetatud asjaolu;</w:t>
      </w:r>
    </w:p>
    <w:p w14:paraId="296F23BF" w14:textId="55736ED4" w:rsidR="00081DD7" w:rsidRDefault="00DE370E" w:rsidP="00081DD7">
      <w:pPr>
        <w:pStyle w:val="Tekst"/>
      </w:pPr>
      <w:r>
        <w:t>2) utt või emakits</w:t>
      </w:r>
      <w:r w:rsidR="00081DD7">
        <w:t xml:space="preserve"> on taotleja tahte vastaselt karjast välja viidud ning taotlejal on selle tõendamiseks Politsei</w:t>
      </w:r>
      <w:r w:rsidR="00E3728F">
        <w:rPr>
          <w:bCs/>
        </w:rPr>
        <w:t>-</w:t>
      </w:r>
      <w:r w:rsidR="00081DD7">
        <w:t xml:space="preserve"> ja Piirivalveametile esitatud avalduse ärakiri;</w:t>
      </w:r>
    </w:p>
    <w:p w14:paraId="27BB2D28" w14:textId="19450215" w:rsidR="00081DD7" w:rsidRDefault="00DE370E" w:rsidP="00081DD7">
      <w:pPr>
        <w:pStyle w:val="Tekst"/>
      </w:pPr>
      <w:r>
        <w:t>3) utt või emakits</w:t>
      </w:r>
      <w:r w:rsidR="00081DD7">
        <w:t xml:space="preserve"> on haiguse või õnnetuse tõttu surnud või veterinaarsel näidustusel hukatud </w:t>
      </w:r>
      <w:r w:rsidR="00F74794">
        <w:t xml:space="preserve">ja </w:t>
      </w:r>
      <w:r w:rsidR="00081DD7">
        <w:t>taotlejal on selle tõendamiseks veterinaararsti kirjalik kinnitus.</w:t>
      </w:r>
    </w:p>
    <w:p w14:paraId="52C0180B" w14:textId="77777777" w:rsidR="00081DD7" w:rsidRDefault="00081DD7" w:rsidP="00081DD7">
      <w:pPr>
        <w:pStyle w:val="Tekst"/>
      </w:pPr>
    </w:p>
    <w:p w14:paraId="2E6746E6" w14:textId="621099AE" w:rsidR="00081DD7" w:rsidRDefault="00217F0B" w:rsidP="00081DD7">
      <w:pPr>
        <w:pStyle w:val="Tekst"/>
        <w:rPr>
          <w:b/>
        </w:rPr>
      </w:pPr>
      <w:r>
        <w:rPr>
          <w:b/>
        </w:rPr>
        <w:t xml:space="preserve">§ 6. </w:t>
      </w:r>
      <w:r w:rsidR="00081DD7" w:rsidRPr="00217F0B">
        <w:rPr>
          <w:b/>
        </w:rPr>
        <w:t>Nõuetele vastavuse nõuded</w:t>
      </w:r>
    </w:p>
    <w:p w14:paraId="31E4A5A4" w14:textId="77777777" w:rsidR="00236BE8" w:rsidRPr="00217F0B" w:rsidRDefault="00236BE8" w:rsidP="00081DD7">
      <w:pPr>
        <w:pStyle w:val="Tekst"/>
        <w:rPr>
          <w:b/>
        </w:rPr>
      </w:pPr>
    </w:p>
    <w:p w14:paraId="4B17A46B" w14:textId="67753DA3" w:rsidR="00081DD7" w:rsidRDefault="00081DD7" w:rsidP="00081DD7">
      <w:pPr>
        <w:pStyle w:val="Tekst"/>
      </w:pPr>
      <w:r>
        <w:t>(1) Euroopa Parlamendi ja nõukogu määruse (EL) nr 1306/2013 artiklis 92 nimetatud toetuse saaja täidab oma põllumajanduslikus tegevuses ja kogu põllumajandusliku majapidamise maal põllumajandusministri 14.</w:t>
      </w:r>
      <w:r w:rsidR="00F74794">
        <w:t> </w:t>
      </w:r>
      <w:r>
        <w:t>jaanuari 2015.</w:t>
      </w:r>
      <w:r w:rsidR="00F74794">
        <w:t> </w:t>
      </w:r>
      <w:r>
        <w:t>a määruses nr</w:t>
      </w:r>
      <w:r w:rsidR="00F74794">
        <w:t> </w:t>
      </w:r>
      <w:r>
        <w:t>4 „Maa heas põllumajandus</w:t>
      </w:r>
      <w:r w:rsidR="00D41F9E">
        <w:rPr>
          <w:bCs/>
        </w:rPr>
        <w:t>–</w:t>
      </w:r>
      <w:r>
        <w:t xml:space="preserve"> ja keskkonnaseisundis hoidmise nõuded” sätestatud nõudeid ning Euroopa Liidu ühise põllumajanduspoliitika rakendamise seaduse §</w:t>
      </w:r>
      <w:r w:rsidR="00F74794">
        <w:t> </w:t>
      </w:r>
      <w:r>
        <w:t>32 lõike</w:t>
      </w:r>
      <w:r w:rsidR="00F74794">
        <w:t> </w:t>
      </w:r>
      <w:r>
        <w:t>2 kohaselt avaldatud kohustuslikke majandamisnõudeid.</w:t>
      </w:r>
    </w:p>
    <w:p w14:paraId="650B85EB" w14:textId="77777777" w:rsidR="00081DD7" w:rsidRDefault="00081DD7" w:rsidP="00081DD7">
      <w:pPr>
        <w:pStyle w:val="Tekst"/>
      </w:pPr>
    </w:p>
    <w:p w14:paraId="061D7B8A" w14:textId="4D89E56C" w:rsidR="00081DD7" w:rsidRDefault="00081DD7" w:rsidP="00081DD7">
      <w:pPr>
        <w:pStyle w:val="Tekst"/>
      </w:pPr>
      <w:r>
        <w:t>(2) Toetuse saaja täidab lõikes 1 nimetatud nõudeid kogu taotluse esitamise kalendriaasta vältel.</w:t>
      </w:r>
    </w:p>
    <w:p w14:paraId="34191794" w14:textId="77777777" w:rsidR="00081DD7" w:rsidRDefault="00081DD7" w:rsidP="00081DD7">
      <w:pPr>
        <w:pStyle w:val="Tekst"/>
      </w:pPr>
    </w:p>
    <w:p w14:paraId="41AA5651" w14:textId="335D557B" w:rsidR="00081DD7" w:rsidRDefault="00217F0B" w:rsidP="00081DD7">
      <w:pPr>
        <w:pStyle w:val="Tekst"/>
        <w:rPr>
          <w:b/>
        </w:rPr>
      </w:pPr>
      <w:r>
        <w:rPr>
          <w:b/>
        </w:rPr>
        <w:t xml:space="preserve">§ 7. </w:t>
      </w:r>
      <w:r w:rsidR="00081DD7" w:rsidRPr="00217F0B">
        <w:rPr>
          <w:b/>
        </w:rPr>
        <w:t>Toetuse taotlemine</w:t>
      </w:r>
    </w:p>
    <w:p w14:paraId="1EA51D16" w14:textId="77777777" w:rsidR="00236BE8" w:rsidRPr="00217F0B" w:rsidRDefault="00236BE8" w:rsidP="00081DD7">
      <w:pPr>
        <w:pStyle w:val="Tekst"/>
        <w:rPr>
          <w:b/>
        </w:rPr>
      </w:pPr>
    </w:p>
    <w:p w14:paraId="3EBE3B31" w14:textId="14867411" w:rsidR="00081DD7" w:rsidRDefault="00081DD7" w:rsidP="00081DD7">
      <w:pPr>
        <w:pStyle w:val="Tekst"/>
      </w:pPr>
      <w:r>
        <w:t xml:space="preserve">(1) Taotleja esitab ajavahemikul 2. märtsist kuni 21. märtsini </w:t>
      </w:r>
      <w:proofErr w:type="spellStart"/>
      <w:r w:rsidR="00F74794">
        <w:t>PRIA-le</w:t>
      </w:r>
      <w:proofErr w:type="spellEnd"/>
      <w:r>
        <w:t xml:space="preserve"> elektrooniliselt PRIA e</w:t>
      </w:r>
      <w:r w:rsidR="003C0322">
        <w:rPr>
          <w:bCs/>
        </w:rPr>
        <w:noBreakHyphen/>
      </w:r>
      <w:r>
        <w:t>teenuse keskkonna kaudu taotluse, mis sisaldab ka maaeluministri 17.</w:t>
      </w:r>
      <w:r w:rsidR="00F74794">
        <w:t> </w:t>
      </w:r>
      <w:r>
        <w:t>aprilli 2015.</w:t>
      </w:r>
      <w:r w:rsidR="00F74794">
        <w:t> </w:t>
      </w:r>
      <w:r>
        <w:t>a määruse nr</w:t>
      </w:r>
      <w:r w:rsidR="00F74794">
        <w:t> </w:t>
      </w:r>
      <w:r>
        <w:t>32 „Otsetoetuste saamise üldised nõuded, ühtne pindalatoetus, kliima- ja keskkonnatoetus ning noore põllumajandustootja toetus” §-s</w:t>
      </w:r>
      <w:r w:rsidR="00F74794">
        <w:t> </w:t>
      </w:r>
      <w:r>
        <w:t>15</w:t>
      </w:r>
      <w:r w:rsidRPr="00531260">
        <w:rPr>
          <w:kern w:val="24"/>
          <w:vertAlign w:val="superscript"/>
        </w:rPr>
        <w:t>1</w:t>
      </w:r>
      <w:r>
        <w:t xml:space="preserve"> nimetatud andmeid.</w:t>
      </w:r>
    </w:p>
    <w:p w14:paraId="22F19182" w14:textId="77777777" w:rsidR="00081DD7" w:rsidRDefault="00081DD7" w:rsidP="00081DD7">
      <w:pPr>
        <w:pStyle w:val="Tekst"/>
      </w:pPr>
    </w:p>
    <w:p w14:paraId="2867DF60" w14:textId="349EA558" w:rsidR="00081DD7" w:rsidRDefault="00081DD7" w:rsidP="00081DD7">
      <w:pPr>
        <w:pStyle w:val="Tekst"/>
      </w:pPr>
      <w:r>
        <w:t>(2) Taotleja, kes ei taotle Euroopa Liidu ühise põllumajanduspoliitika rakendamise seaduse §</w:t>
      </w:r>
      <w:r w:rsidR="00F74794">
        <w:t> </w:t>
      </w:r>
      <w:r>
        <w:t>11 lõike</w:t>
      </w:r>
      <w:r w:rsidR="00F74794">
        <w:t> </w:t>
      </w:r>
      <w:r>
        <w:t>1 punktis</w:t>
      </w:r>
      <w:r w:rsidR="00F74794">
        <w:t> </w:t>
      </w:r>
      <w:r>
        <w:t>1, 2 või 3 nimetatud otsetoetust, põllumajanduskultuuri või heinaseemne täiendava otsetoetuse toetusõiguse alusel üleminekutoetust ega Euroopa Parlamendi ja nõukogu määruse (EL) nr</w:t>
      </w:r>
      <w:r w:rsidR="00154320">
        <w:t> </w:t>
      </w:r>
      <w:r>
        <w:t>1305/2013 Euroopa Maaelu Arengu Põllumajandusfondist (</w:t>
      </w:r>
      <w:r w:rsidR="00236BE8">
        <w:t xml:space="preserve">edaspidi </w:t>
      </w:r>
      <w:r w:rsidRPr="00236BE8">
        <w:rPr>
          <w:i/>
        </w:rPr>
        <w:t>EAFRD</w:t>
      </w:r>
      <w:r>
        <w:t>) antavate maaelu arengu toetuste kohta ja millega tunnistatakse kehtetuks nõukogu määrus (EÜ) nr</w:t>
      </w:r>
      <w:r w:rsidR="00154320">
        <w:t> </w:t>
      </w:r>
      <w:r>
        <w:t>1698/2005 (ELT L 347, 20.12.2013, lk</w:t>
      </w:r>
      <w:r w:rsidR="00F74794">
        <w:t> </w:t>
      </w:r>
      <w:r>
        <w:t>487–548) artiklis</w:t>
      </w:r>
      <w:r w:rsidR="00F74794">
        <w:t> </w:t>
      </w:r>
      <w:r>
        <w:t xml:space="preserve">28, 29, 30 või 33 nimetatud toetust, </w:t>
      </w:r>
      <w:r>
        <w:lastRenderedPageBreak/>
        <w:t>esitab taotluse esitamise kalendriaasta 21.</w:t>
      </w:r>
      <w:r w:rsidR="00154320">
        <w:t> </w:t>
      </w:r>
      <w:r>
        <w:t xml:space="preserve">maiks </w:t>
      </w:r>
      <w:bookmarkStart w:id="1" w:name="_Hlk56013275"/>
      <w:proofErr w:type="spellStart"/>
      <w:r>
        <w:t>PRIA-le</w:t>
      </w:r>
      <w:bookmarkEnd w:id="1"/>
      <w:proofErr w:type="spellEnd"/>
      <w:r>
        <w:t xml:space="preserve"> elektrooniliselt PRIA e</w:t>
      </w:r>
      <w:r w:rsidR="00E00543">
        <w:rPr>
          <w:bCs/>
        </w:rPr>
        <w:t>-</w:t>
      </w:r>
      <w:r>
        <w:t>teenuse keskkonna kaudu lisaks lõikes</w:t>
      </w:r>
      <w:r w:rsidR="00154320">
        <w:t> </w:t>
      </w:r>
      <w:r>
        <w:t>1 nimetatud andmetele maaeluministri 17.</w:t>
      </w:r>
      <w:r w:rsidR="00154320">
        <w:t> </w:t>
      </w:r>
      <w:r>
        <w:t>aprilli 2015.</w:t>
      </w:r>
      <w:r w:rsidR="00154320">
        <w:t> </w:t>
      </w:r>
      <w:r>
        <w:t>a määruse nr</w:t>
      </w:r>
      <w:r w:rsidR="00154320">
        <w:t> </w:t>
      </w:r>
      <w:r>
        <w:t>32 „Otsetoetuste saamise üldised nõuded, ühtne pindalatoetus, kliima</w:t>
      </w:r>
      <w:r w:rsidR="00E00543">
        <w:rPr>
          <w:bCs/>
        </w:rPr>
        <w:t>-</w:t>
      </w:r>
      <w:r>
        <w:t xml:space="preserve"> ja keskkonnatoetus ning noore põllumajandustootja toetus” §</w:t>
      </w:r>
      <w:r w:rsidR="00154320">
        <w:t> </w:t>
      </w:r>
      <w:r>
        <w:t>15</w:t>
      </w:r>
      <w:r w:rsidRPr="00531260">
        <w:rPr>
          <w:kern w:val="24"/>
          <w:vertAlign w:val="superscript"/>
        </w:rPr>
        <w:t>2</w:t>
      </w:r>
      <w:r>
        <w:t xml:space="preserve"> lõike</w:t>
      </w:r>
      <w:r w:rsidR="00154320">
        <w:t> </w:t>
      </w:r>
      <w:r>
        <w:t>1 punktides</w:t>
      </w:r>
      <w:r w:rsidR="00154320">
        <w:t> </w:t>
      </w:r>
      <w:r>
        <w:t>1–6, 12 ja 13, §</w:t>
      </w:r>
      <w:r w:rsidR="0074485A">
        <w:t> </w:t>
      </w:r>
      <w:r>
        <w:t>15</w:t>
      </w:r>
      <w:r w:rsidRPr="00531260">
        <w:rPr>
          <w:kern w:val="24"/>
          <w:vertAlign w:val="superscript"/>
        </w:rPr>
        <w:t>2</w:t>
      </w:r>
      <w:r>
        <w:t xml:space="preserve"> lõigetes</w:t>
      </w:r>
      <w:r w:rsidR="00154320">
        <w:t> </w:t>
      </w:r>
      <w:r>
        <w:t>2 ja 3 ning §-s</w:t>
      </w:r>
      <w:r w:rsidR="00154320">
        <w:t> </w:t>
      </w:r>
      <w:r>
        <w:t>15</w:t>
      </w:r>
      <w:r w:rsidRPr="00531260">
        <w:rPr>
          <w:kern w:val="24"/>
          <w:vertAlign w:val="superscript"/>
        </w:rPr>
        <w:t>3</w:t>
      </w:r>
      <w:r>
        <w:t xml:space="preserve"> nimetatud andmed.</w:t>
      </w:r>
    </w:p>
    <w:p w14:paraId="33F133BA" w14:textId="77777777" w:rsidR="00081DD7" w:rsidRDefault="00081DD7" w:rsidP="00081DD7">
      <w:pPr>
        <w:pStyle w:val="Tekst"/>
      </w:pPr>
    </w:p>
    <w:p w14:paraId="475A35D8" w14:textId="0C7AE7DC" w:rsidR="00081DD7" w:rsidRDefault="00217F0B" w:rsidP="00081DD7">
      <w:pPr>
        <w:pStyle w:val="Tekst"/>
        <w:rPr>
          <w:b/>
        </w:rPr>
      </w:pPr>
      <w:r>
        <w:rPr>
          <w:b/>
        </w:rPr>
        <w:t xml:space="preserve">§ 8. </w:t>
      </w:r>
      <w:r w:rsidR="00081DD7" w:rsidRPr="00217F0B">
        <w:rPr>
          <w:b/>
        </w:rPr>
        <w:t>Põllumajandusliku majapidamise üleandmine</w:t>
      </w:r>
    </w:p>
    <w:p w14:paraId="621D9473" w14:textId="77777777" w:rsidR="00236BE8" w:rsidRPr="00217F0B" w:rsidRDefault="00236BE8" w:rsidP="00081DD7">
      <w:pPr>
        <w:pStyle w:val="Tekst"/>
        <w:rPr>
          <w:b/>
        </w:rPr>
      </w:pPr>
    </w:p>
    <w:p w14:paraId="6AD0800D" w14:textId="6234BDF1" w:rsidR="00081DD7" w:rsidRDefault="00081DD7" w:rsidP="00081DD7">
      <w:pPr>
        <w:pStyle w:val="Tekst"/>
      </w:pPr>
      <w:r>
        <w:t>(1)</w:t>
      </w:r>
      <w:r w:rsidR="00217F0B">
        <w:t xml:space="preserve"> </w:t>
      </w:r>
      <w:r>
        <w:t>Põllumajandusliku majapidamise üleandmise suhtes kohaldatakse komisjoni rakendusmääruse (EL) nr</w:t>
      </w:r>
      <w:r w:rsidR="00154320">
        <w:t> </w:t>
      </w:r>
      <w:r>
        <w:t>809/2014, millega kehtestatakse Euroopa Parlamendi ja nõukogu määruse (EL) nr</w:t>
      </w:r>
      <w:r w:rsidR="00154320">
        <w:t> </w:t>
      </w:r>
      <w:r>
        <w:t>1306/2013 rakenduseeskirjad seoses ühtse haldus</w:t>
      </w:r>
      <w:r w:rsidR="00E00543">
        <w:rPr>
          <w:bCs/>
        </w:rPr>
        <w:t>-</w:t>
      </w:r>
      <w:r>
        <w:t xml:space="preserve"> ja kontrollisüsteemi, maaelu arengu meetmete ja nõuetele vastavusega (ELT L 227, 31.07.2014, lk</w:t>
      </w:r>
      <w:r w:rsidR="00154320">
        <w:t> </w:t>
      </w:r>
      <w:r>
        <w:t>69–124), artiklis</w:t>
      </w:r>
      <w:r w:rsidR="00154320">
        <w:t> </w:t>
      </w:r>
      <w:r>
        <w:t>8 sätestatut.</w:t>
      </w:r>
    </w:p>
    <w:p w14:paraId="5BCD51BB" w14:textId="77777777" w:rsidR="00081DD7" w:rsidRDefault="00081DD7" w:rsidP="00081DD7">
      <w:pPr>
        <w:pStyle w:val="Tekst"/>
      </w:pPr>
    </w:p>
    <w:p w14:paraId="6EC5590F" w14:textId="3E9406C1" w:rsidR="00081DD7" w:rsidRDefault="00081DD7" w:rsidP="00081DD7">
      <w:pPr>
        <w:pStyle w:val="Tekst"/>
      </w:pPr>
      <w:r>
        <w:t>(2) Komisjoni rakendusmääruse (EL) nr 809/2014 artikli</w:t>
      </w:r>
      <w:r w:rsidR="00154320">
        <w:t> </w:t>
      </w:r>
      <w:r>
        <w:t>8 lõike</w:t>
      </w:r>
      <w:r w:rsidR="00154320">
        <w:t> </w:t>
      </w:r>
      <w:r>
        <w:t>3 punktis</w:t>
      </w:r>
      <w:r w:rsidR="00154320">
        <w:t> </w:t>
      </w:r>
      <w:r>
        <w:t>a nimetatud ajavahemik algab 22.</w:t>
      </w:r>
      <w:r w:rsidR="00154320">
        <w:t> </w:t>
      </w:r>
      <w:r>
        <w:t xml:space="preserve">märtsil </w:t>
      </w:r>
      <w:r w:rsidR="00154320">
        <w:t xml:space="preserve">ja </w:t>
      </w:r>
      <w:r>
        <w:t>lõppeb 1.</w:t>
      </w:r>
      <w:r w:rsidR="00154320">
        <w:t> </w:t>
      </w:r>
      <w:r>
        <w:t>septembril.</w:t>
      </w:r>
    </w:p>
    <w:p w14:paraId="23F68465" w14:textId="77777777" w:rsidR="00081DD7" w:rsidRDefault="00081DD7" w:rsidP="00081DD7">
      <w:pPr>
        <w:pStyle w:val="Tekst"/>
      </w:pPr>
    </w:p>
    <w:p w14:paraId="4341D88E" w14:textId="07AC81D1" w:rsidR="00081DD7" w:rsidRDefault="00081DD7" w:rsidP="00081DD7">
      <w:pPr>
        <w:pStyle w:val="Tekst"/>
      </w:pPr>
      <w:r>
        <w:t xml:space="preserve">(3) Põllumajandusliku majapidamise üleandmise korral esitab põllumajandusliku majapidamise ülevõtja </w:t>
      </w:r>
      <w:proofErr w:type="spellStart"/>
      <w:r>
        <w:t>ülevõtmisest</w:t>
      </w:r>
      <w:proofErr w:type="spellEnd"/>
      <w:r>
        <w:t xml:space="preserve"> teatamiseks ja toetuse maksmise taotlemiseks lõikes</w:t>
      </w:r>
      <w:r w:rsidR="00154320">
        <w:t> </w:t>
      </w:r>
      <w:r>
        <w:t xml:space="preserve">2 sätestatud ajavahemikul </w:t>
      </w:r>
      <w:proofErr w:type="spellStart"/>
      <w:r>
        <w:t>PRIA-le</w:t>
      </w:r>
      <w:proofErr w:type="spellEnd"/>
      <w:r>
        <w:t xml:space="preserve"> elektrooniliselt PRIA e</w:t>
      </w:r>
      <w:r w:rsidR="003C0322">
        <w:rPr>
          <w:bCs/>
        </w:rPr>
        <w:noBreakHyphen/>
      </w:r>
      <w:r>
        <w:t>teenuse keskkonna kaudu järgmised andmed:</w:t>
      </w:r>
    </w:p>
    <w:p w14:paraId="501D8C76" w14:textId="39A769E8" w:rsidR="00081DD7" w:rsidRDefault="00081DD7" w:rsidP="00081DD7">
      <w:pPr>
        <w:pStyle w:val="Tekst"/>
      </w:pPr>
      <w:r>
        <w:t xml:space="preserve">1) põllumajandusliku majapidamise </w:t>
      </w:r>
      <w:proofErr w:type="spellStart"/>
      <w:r>
        <w:t>üleandja</w:t>
      </w:r>
      <w:proofErr w:type="spellEnd"/>
      <w:r>
        <w:t xml:space="preserve"> nimi ja registri</w:t>
      </w:r>
      <w:r w:rsidR="003C0322">
        <w:rPr>
          <w:bCs/>
        </w:rPr>
        <w:t>-</w:t>
      </w:r>
      <w:r w:rsidR="003C0322">
        <w:t xml:space="preserve"> </w:t>
      </w:r>
      <w:r>
        <w:t>või isikukood;</w:t>
      </w:r>
    </w:p>
    <w:p w14:paraId="18A272A5" w14:textId="6777948A" w:rsidR="00081DD7" w:rsidRDefault="00081DD7" w:rsidP="00081DD7">
      <w:pPr>
        <w:pStyle w:val="Tekst"/>
      </w:pPr>
      <w:r>
        <w:t>2) põllumajandusliku majapidamise ülevõtja nimi ja registri</w:t>
      </w:r>
      <w:r w:rsidR="003C0322">
        <w:rPr>
          <w:bCs/>
        </w:rPr>
        <w:t>-</w:t>
      </w:r>
      <w:r w:rsidR="003C0322">
        <w:t xml:space="preserve"> </w:t>
      </w:r>
      <w:r>
        <w:t>või isikukood;</w:t>
      </w:r>
    </w:p>
    <w:p w14:paraId="2B14ED5F" w14:textId="062B3408" w:rsidR="00081DD7" w:rsidRDefault="00236BE8" w:rsidP="00081DD7">
      <w:pPr>
        <w:pStyle w:val="Tekst"/>
      </w:pPr>
      <w:r>
        <w:t xml:space="preserve">3) </w:t>
      </w:r>
      <w:r w:rsidR="00081DD7">
        <w:t xml:space="preserve">põllumajandusliku majapidamise </w:t>
      </w:r>
      <w:proofErr w:type="spellStart"/>
      <w:r w:rsidR="00081DD7">
        <w:t>üleandja</w:t>
      </w:r>
      <w:proofErr w:type="spellEnd"/>
      <w:r w:rsidR="00081DD7">
        <w:t xml:space="preserve"> ja ülevõtja kinnitus põllumajandusliku majapidamise üleandmise kohta;</w:t>
      </w:r>
    </w:p>
    <w:p w14:paraId="5CE32FA6" w14:textId="3C9168C8" w:rsidR="00081DD7" w:rsidRDefault="00081DD7" w:rsidP="00081DD7">
      <w:pPr>
        <w:pStyle w:val="Tekst"/>
      </w:pPr>
      <w:r>
        <w:t>4) andmed selle kohta, et põllumajandusliku majapidamise ülevõtja taotleb toetuse maksmist.</w:t>
      </w:r>
    </w:p>
    <w:p w14:paraId="12A7E0DA" w14:textId="77777777" w:rsidR="00081DD7" w:rsidRDefault="00081DD7" w:rsidP="00081DD7">
      <w:pPr>
        <w:pStyle w:val="Tekst"/>
      </w:pPr>
    </w:p>
    <w:p w14:paraId="4D69D41A" w14:textId="1DB1B3AC" w:rsidR="00081DD7" w:rsidRDefault="00217F0B" w:rsidP="00081DD7">
      <w:pPr>
        <w:pStyle w:val="Tekst"/>
        <w:rPr>
          <w:b/>
        </w:rPr>
      </w:pPr>
      <w:r>
        <w:rPr>
          <w:b/>
        </w:rPr>
        <w:t xml:space="preserve">§ 9. </w:t>
      </w:r>
      <w:r w:rsidR="00081DD7" w:rsidRPr="00217F0B">
        <w:rPr>
          <w:b/>
        </w:rPr>
        <w:t>Taotluse kontrollimine</w:t>
      </w:r>
    </w:p>
    <w:p w14:paraId="454694F7" w14:textId="77777777" w:rsidR="00236BE8" w:rsidRPr="00217F0B" w:rsidRDefault="00236BE8" w:rsidP="00081DD7">
      <w:pPr>
        <w:pStyle w:val="Tekst"/>
        <w:rPr>
          <w:b/>
        </w:rPr>
      </w:pPr>
    </w:p>
    <w:p w14:paraId="6FFAB92B" w14:textId="70C50B6D" w:rsidR="00081DD7" w:rsidRDefault="00081DD7" w:rsidP="00081DD7">
      <w:pPr>
        <w:pStyle w:val="Tekst"/>
      </w:pPr>
      <w:r>
        <w:t xml:space="preserve">(1) PRIA kontrollib taotluses esitatud andmete õigsust </w:t>
      </w:r>
      <w:r w:rsidR="00ED7C3C">
        <w:t xml:space="preserve">ning taotleja ja taotluse </w:t>
      </w:r>
      <w:r>
        <w:t>vastavust toetuse saamise nõuetele, lähtudes komisjoni rakendusmääruse (EL) nr</w:t>
      </w:r>
      <w:r w:rsidR="00154320">
        <w:t> </w:t>
      </w:r>
      <w:r>
        <w:t>809/2014 artiklites</w:t>
      </w:r>
      <w:r w:rsidR="00154320">
        <w:t> </w:t>
      </w:r>
      <w:r>
        <w:t>24–43 sätestatust.</w:t>
      </w:r>
    </w:p>
    <w:p w14:paraId="009E8AA8" w14:textId="77777777" w:rsidR="00081DD7" w:rsidRDefault="00081DD7" w:rsidP="00081DD7">
      <w:pPr>
        <w:pStyle w:val="Tekst"/>
      </w:pPr>
    </w:p>
    <w:p w14:paraId="5D39EF06" w14:textId="1EEF58F2" w:rsidR="00081DD7" w:rsidRDefault="00081DD7" w:rsidP="00081DD7">
      <w:pPr>
        <w:pStyle w:val="Tekst"/>
      </w:pPr>
      <w:r>
        <w:t>(2) Euroopa Liidu ühise põllumajanduspoliitika rakendamise seaduse §</w:t>
      </w:r>
      <w:r w:rsidR="00154320">
        <w:t> </w:t>
      </w:r>
      <w:r>
        <w:t>33 lõikes</w:t>
      </w:r>
      <w:r w:rsidR="00154320">
        <w:t> </w:t>
      </w:r>
      <w:r>
        <w:t>1 nimetatud asutused kontrollivad §-s</w:t>
      </w:r>
      <w:r w:rsidR="00154320">
        <w:t> </w:t>
      </w:r>
      <w:r>
        <w:t>6 sätestatud nõuetele vastavust, lähtudes komisjoni rakendusmääruse (EL) nr</w:t>
      </w:r>
      <w:r w:rsidR="00154320">
        <w:t> </w:t>
      </w:r>
      <w:r>
        <w:t>809/2014 artiklites</w:t>
      </w:r>
      <w:r w:rsidR="00154320">
        <w:t> </w:t>
      </w:r>
      <w:r>
        <w:t>65–72 sätestatust.</w:t>
      </w:r>
    </w:p>
    <w:p w14:paraId="1293A887" w14:textId="77777777" w:rsidR="00081DD7" w:rsidRDefault="00081DD7" w:rsidP="00081DD7">
      <w:pPr>
        <w:pStyle w:val="Tekst"/>
      </w:pPr>
    </w:p>
    <w:p w14:paraId="45B4FED6" w14:textId="0C16FF8A" w:rsidR="00081DD7" w:rsidRDefault="00081DD7" w:rsidP="00081DD7">
      <w:pPr>
        <w:pStyle w:val="Tekst"/>
      </w:pPr>
      <w:r>
        <w:t>(3) Taotleja teeb lõigetes 1 ja 2 nimetatud asutustele teatavaks kõik taotluse rahuldamise otsustamiseks vajalikud asjaolud, sealhulgas ajab vajaduse korral loomad kokku või hoiab neid selliselt, et oleks võimalik kontrollida nende kõrvamärkide olemasolu ja loomade identifitseerimisnumbrit.</w:t>
      </w:r>
    </w:p>
    <w:p w14:paraId="4BA12FA2" w14:textId="77777777" w:rsidR="00081DD7" w:rsidRDefault="00081DD7" w:rsidP="00081DD7">
      <w:pPr>
        <w:pStyle w:val="Tekst"/>
      </w:pPr>
    </w:p>
    <w:p w14:paraId="01AD362B" w14:textId="2B00783B" w:rsidR="00081DD7" w:rsidRDefault="00217F0B" w:rsidP="00081DD7">
      <w:pPr>
        <w:pStyle w:val="Tekst"/>
        <w:rPr>
          <w:b/>
        </w:rPr>
      </w:pPr>
      <w:r>
        <w:rPr>
          <w:b/>
        </w:rPr>
        <w:t xml:space="preserve">§ 10. </w:t>
      </w:r>
      <w:r w:rsidR="00081DD7" w:rsidRPr="00217F0B">
        <w:rPr>
          <w:b/>
        </w:rPr>
        <w:t>Toetuse ühikumäär</w:t>
      </w:r>
    </w:p>
    <w:p w14:paraId="4C114C92" w14:textId="77777777" w:rsidR="00236BE8" w:rsidRPr="00217F0B" w:rsidRDefault="00236BE8" w:rsidP="00081DD7">
      <w:pPr>
        <w:pStyle w:val="Tekst"/>
        <w:rPr>
          <w:b/>
        </w:rPr>
      </w:pPr>
    </w:p>
    <w:p w14:paraId="0E99F95A" w14:textId="1D771610" w:rsidR="00217F0B" w:rsidRDefault="00081DD7" w:rsidP="00081DD7">
      <w:pPr>
        <w:pStyle w:val="Tekst"/>
      </w:pPr>
      <w:r>
        <w:t>PRIA otsustab toetuse ühikumäära taotluse esitamise kalendriaasta 1.</w:t>
      </w:r>
      <w:r w:rsidR="00154320">
        <w:t> </w:t>
      </w:r>
      <w:r>
        <w:t>detsembriks.</w:t>
      </w:r>
    </w:p>
    <w:p w14:paraId="431E763E" w14:textId="77777777" w:rsidR="00081DD7" w:rsidRDefault="00081DD7" w:rsidP="00081DD7">
      <w:pPr>
        <w:pStyle w:val="Tekst"/>
      </w:pPr>
    </w:p>
    <w:p w14:paraId="02AAF3D5" w14:textId="4017E3CA" w:rsidR="00081DD7" w:rsidRPr="005E4F9D" w:rsidRDefault="005E4F9D" w:rsidP="00081DD7">
      <w:pPr>
        <w:pStyle w:val="Tekst"/>
        <w:rPr>
          <w:b/>
        </w:rPr>
      </w:pPr>
      <w:r>
        <w:rPr>
          <w:b/>
        </w:rPr>
        <w:t xml:space="preserve">§ 11. </w:t>
      </w:r>
      <w:r w:rsidR="00081DD7" w:rsidRPr="005E4F9D">
        <w:rPr>
          <w:b/>
        </w:rPr>
        <w:t>Toetuse vähendamine</w:t>
      </w:r>
    </w:p>
    <w:p w14:paraId="0AADB6D7" w14:textId="77777777" w:rsidR="00F07B9C" w:rsidRDefault="00F07B9C" w:rsidP="00081DD7">
      <w:pPr>
        <w:pStyle w:val="Tekst"/>
      </w:pPr>
    </w:p>
    <w:p w14:paraId="7358D48B" w14:textId="3CFE5CC4" w:rsidR="00081DD7" w:rsidRDefault="00081DD7" w:rsidP="00081DD7">
      <w:pPr>
        <w:pStyle w:val="Tekst"/>
      </w:pPr>
      <w:r>
        <w:t>PRIA otsustab toetuse vähendamise Euroopa Parlamendi ja nõukogu määruses (EL) nr</w:t>
      </w:r>
      <w:r w:rsidR="00154320">
        <w:t> </w:t>
      </w:r>
      <w:r>
        <w:t>1306/2013, komisjoni delegeeritud määruses (EL) nr</w:t>
      </w:r>
      <w:r w:rsidR="00154320">
        <w:t> </w:t>
      </w:r>
      <w:r>
        <w:t>640/2014, millega täiendatakse Euroopa Parlamendi ja nõukogu määrust (EL) nr</w:t>
      </w:r>
      <w:r w:rsidR="00154320">
        <w:t> </w:t>
      </w:r>
      <w:r>
        <w:t>1306/2013 ühtse haldus</w:t>
      </w:r>
      <w:r w:rsidR="003C0322">
        <w:t>-</w:t>
      </w:r>
      <w:r w:rsidR="00D41F9E">
        <w:rPr>
          <w:bCs/>
        </w:rPr>
        <w:t xml:space="preserve"> </w:t>
      </w:r>
      <w:r>
        <w:t xml:space="preserve">ja kontrollisüsteemi osas, otsetoetuste, maaelu arengu toetuse ja nõuetele vastavuse süsteemiga seoses </w:t>
      </w:r>
      <w:r>
        <w:lastRenderedPageBreak/>
        <w:t>kohaldatavatest maksetest keeldumise ja nende tühistamise tingimuste osas ning kõnealuste toetuste ja süsteemiga seotud halduskaristuste osas (E</w:t>
      </w:r>
      <w:r w:rsidR="00236BE8">
        <w:t>LT L 181, 20.06.2014, lk</w:t>
      </w:r>
      <w:r w:rsidR="00154320">
        <w:t> </w:t>
      </w:r>
      <w:r w:rsidR="00236BE8">
        <w:t>48–73)</w:t>
      </w:r>
      <w:r w:rsidR="00154320">
        <w:t>,</w:t>
      </w:r>
      <w:r>
        <w:t xml:space="preserve"> ning komisjoni rakendusmääruses (EL) nr 809/2014 sätestatud alustel ja korras.</w:t>
      </w:r>
    </w:p>
    <w:p w14:paraId="31DED21C" w14:textId="77777777" w:rsidR="00081DD7" w:rsidRDefault="00081DD7" w:rsidP="00081DD7">
      <w:pPr>
        <w:pStyle w:val="Tekst"/>
      </w:pPr>
    </w:p>
    <w:p w14:paraId="4C2F3F15" w14:textId="46D4F0D5" w:rsidR="00081DD7" w:rsidRDefault="005E4F9D" w:rsidP="00081DD7">
      <w:pPr>
        <w:pStyle w:val="Tekst"/>
        <w:rPr>
          <w:b/>
        </w:rPr>
      </w:pPr>
      <w:r>
        <w:rPr>
          <w:b/>
        </w:rPr>
        <w:t xml:space="preserve">§ 12. </w:t>
      </w:r>
      <w:r w:rsidR="00081DD7" w:rsidRPr="005E4F9D">
        <w:rPr>
          <w:b/>
        </w:rPr>
        <w:t>Taotluse rahuldamine ja rahuldamata jätmine</w:t>
      </w:r>
    </w:p>
    <w:p w14:paraId="7227EC73" w14:textId="77777777" w:rsidR="00236BE8" w:rsidRPr="005E4F9D" w:rsidRDefault="00236BE8" w:rsidP="00081DD7">
      <w:pPr>
        <w:pStyle w:val="Tekst"/>
        <w:rPr>
          <w:b/>
        </w:rPr>
      </w:pPr>
    </w:p>
    <w:p w14:paraId="4B93EA56" w14:textId="4AE8074F" w:rsidR="00081DD7" w:rsidRDefault="00081DD7" w:rsidP="00081DD7">
      <w:pPr>
        <w:pStyle w:val="Tekst"/>
      </w:pPr>
      <w:r>
        <w:t>(1) PRIA teeb taotluse rahuldamise või rahuldamata jätmise otsuse taotluse esitamise kalendriaasta 10.</w:t>
      </w:r>
      <w:r w:rsidR="00154320">
        <w:t> </w:t>
      </w:r>
      <w:r>
        <w:t>detsembriks.</w:t>
      </w:r>
    </w:p>
    <w:p w14:paraId="0491B9B1" w14:textId="77777777" w:rsidR="00081DD7" w:rsidRDefault="00081DD7" w:rsidP="00081DD7">
      <w:pPr>
        <w:pStyle w:val="Tekst"/>
      </w:pPr>
    </w:p>
    <w:p w14:paraId="658D639C" w14:textId="426D455B" w:rsidR="00081DD7" w:rsidRDefault="00081DD7" w:rsidP="00081DD7">
      <w:pPr>
        <w:pStyle w:val="Tekst"/>
      </w:pPr>
      <w:r>
        <w:t>(2) PRIA teeb taotluse rahuldamata jätmise otsuse Euroopa Liidu ühise põllumajanduspoliitika seaduse §-s</w:t>
      </w:r>
      <w:r w:rsidR="00154320">
        <w:t> </w:t>
      </w:r>
      <w:r>
        <w:t>22 sätestatud alustel.</w:t>
      </w:r>
    </w:p>
    <w:p w14:paraId="7C334D3B" w14:textId="77777777" w:rsidR="00081DD7" w:rsidRDefault="00081DD7" w:rsidP="00081DD7">
      <w:pPr>
        <w:pStyle w:val="Tekst"/>
      </w:pPr>
    </w:p>
    <w:p w14:paraId="5726D069" w14:textId="2ECA74F7" w:rsidR="00081DD7" w:rsidRDefault="005E4F9D" w:rsidP="00081DD7">
      <w:pPr>
        <w:pStyle w:val="Tekst"/>
        <w:rPr>
          <w:b/>
        </w:rPr>
      </w:pPr>
      <w:r>
        <w:rPr>
          <w:b/>
        </w:rPr>
        <w:t xml:space="preserve">§ 13. </w:t>
      </w:r>
      <w:r w:rsidR="00081DD7" w:rsidRPr="005E4F9D">
        <w:rPr>
          <w:b/>
        </w:rPr>
        <w:t>Finantsdistsipliin</w:t>
      </w:r>
    </w:p>
    <w:p w14:paraId="27F5FD73" w14:textId="77777777" w:rsidR="00236BE8" w:rsidRPr="005E4F9D" w:rsidRDefault="00236BE8" w:rsidP="00081DD7">
      <w:pPr>
        <w:pStyle w:val="Tekst"/>
        <w:rPr>
          <w:b/>
        </w:rPr>
      </w:pPr>
    </w:p>
    <w:p w14:paraId="07162F47" w14:textId="497D9859" w:rsidR="00081DD7" w:rsidRDefault="00081DD7" w:rsidP="00081DD7">
      <w:pPr>
        <w:pStyle w:val="Tekst"/>
      </w:pPr>
      <w:r>
        <w:t>Taotlejale makstavat otsetoetuste summat kohandatakse vajaduse korral Euroopa Parlamendi ja nõukogu määruse (EL) nr</w:t>
      </w:r>
      <w:r w:rsidR="00154320">
        <w:t> </w:t>
      </w:r>
      <w:r>
        <w:t>1307/2013 artikli</w:t>
      </w:r>
      <w:r w:rsidR="00154320">
        <w:t> </w:t>
      </w:r>
      <w:r>
        <w:t>8 lõike</w:t>
      </w:r>
      <w:r w:rsidR="00154320">
        <w:t> </w:t>
      </w:r>
      <w:r>
        <w:t>1 kohaselt.</w:t>
      </w:r>
    </w:p>
    <w:p w14:paraId="7920762E" w14:textId="77777777" w:rsidR="00081DD7" w:rsidRDefault="00081DD7" w:rsidP="00081DD7">
      <w:pPr>
        <w:pStyle w:val="Tekst"/>
      </w:pPr>
    </w:p>
    <w:p w14:paraId="6D62B62C" w14:textId="674132DA" w:rsidR="00081DD7" w:rsidRDefault="005E4F9D" w:rsidP="00081DD7">
      <w:pPr>
        <w:pStyle w:val="Tekst"/>
        <w:rPr>
          <w:b/>
        </w:rPr>
      </w:pPr>
      <w:r>
        <w:rPr>
          <w:b/>
        </w:rPr>
        <w:t xml:space="preserve">§ 14. </w:t>
      </w:r>
      <w:r w:rsidR="00081DD7" w:rsidRPr="005E4F9D">
        <w:rPr>
          <w:b/>
        </w:rPr>
        <w:t>Toetuse maksmine</w:t>
      </w:r>
    </w:p>
    <w:p w14:paraId="4B48CCBE" w14:textId="77777777" w:rsidR="00236BE8" w:rsidRPr="005E4F9D" w:rsidRDefault="00236BE8" w:rsidP="00081DD7">
      <w:pPr>
        <w:pStyle w:val="Tekst"/>
        <w:rPr>
          <w:b/>
        </w:rPr>
      </w:pPr>
    </w:p>
    <w:p w14:paraId="7EF3B2BD" w14:textId="272D8197" w:rsidR="00081DD7" w:rsidRDefault="00081DD7" w:rsidP="00081DD7">
      <w:pPr>
        <w:pStyle w:val="Tekst"/>
      </w:pPr>
      <w:r>
        <w:t>Toetus makstakse välja taotluse esitamise kalendriaastale järgneva kalendriaasta 30.</w:t>
      </w:r>
      <w:r w:rsidR="00154320">
        <w:t> </w:t>
      </w:r>
      <w:r>
        <w:t>juuniks.</w:t>
      </w:r>
    </w:p>
    <w:p w14:paraId="661CE722" w14:textId="77777777" w:rsidR="00081DD7" w:rsidRDefault="00081DD7" w:rsidP="00081DD7">
      <w:pPr>
        <w:pStyle w:val="Tekst"/>
      </w:pPr>
    </w:p>
    <w:p w14:paraId="7DDBE188" w14:textId="45C5CD7F" w:rsidR="00081DD7" w:rsidRDefault="005E4F9D" w:rsidP="00081DD7">
      <w:pPr>
        <w:pStyle w:val="Tekst"/>
        <w:rPr>
          <w:b/>
        </w:rPr>
      </w:pPr>
      <w:r>
        <w:rPr>
          <w:b/>
        </w:rPr>
        <w:t xml:space="preserve">§ 15. </w:t>
      </w:r>
      <w:r w:rsidR="00081DD7" w:rsidRPr="005E4F9D">
        <w:rPr>
          <w:b/>
        </w:rPr>
        <w:t>Toetuse saaja andmete avalikustamine</w:t>
      </w:r>
    </w:p>
    <w:p w14:paraId="50694AF1" w14:textId="77777777" w:rsidR="00236BE8" w:rsidRPr="005E4F9D" w:rsidRDefault="00236BE8" w:rsidP="00081DD7">
      <w:pPr>
        <w:pStyle w:val="Tekst"/>
        <w:rPr>
          <w:b/>
        </w:rPr>
      </w:pPr>
    </w:p>
    <w:p w14:paraId="33DE199F" w14:textId="35FF0F54" w:rsidR="00081DD7" w:rsidRDefault="00081DD7" w:rsidP="00081DD7">
      <w:pPr>
        <w:pStyle w:val="Tekst"/>
      </w:pPr>
      <w:r>
        <w:t>PRIA teavitab toetuse saajat tema andmete avalikustamisest Euroopa Parlamendi ja nõukogu määruse (EL) nr</w:t>
      </w:r>
      <w:r w:rsidR="00154320">
        <w:t> </w:t>
      </w:r>
      <w:r>
        <w:t>1306/2013 artiklite</w:t>
      </w:r>
      <w:r w:rsidR="00154320">
        <w:t> </w:t>
      </w:r>
      <w:r>
        <w:t>111 ja 112 kohaselt ning nende töötlemisest liidu finantshuvide tagamise eesmärgil sama määruse artikli</w:t>
      </w:r>
      <w:r w:rsidR="00154320">
        <w:t> </w:t>
      </w:r>
      <w:r>
        <w:t>113 kohaselt.</w:t>
      </w:r>
    </w:p>
    <w:p w14:paraId="72549CCA" w14:textId="7960EFC3" w:rsidR="0060293D" w:rsidRDefault="0060293D" w:rsidP="00081DD7">
      <w:pPr>
        <w:pStyle w:val="Tekst"/>
      </w:pPr>
    </w:p>
    <w:p w14:paraId="16DB0141" w14:textId="645B3CD9" w:rsidR="0060293D" w:rsidRPr="002960E2" w:rsidRDefault="0060293D" w:rsidP="00081DD7">
      <w:pPr>
        <w:pStyle w:val="Tekst"/>
        <w:rPr>
          <w:b/>
        </w:rPr>
      </w:pPr>
      <w:r w:rsidRPr="002960E2">
        <w:rPr>
          <w:b/>
        </w:rPr>
        <w:t>§ 16. Määruse jõustumine</w:t>
      </w:r>
    </w:p>
    <w:p w14:paraId="1B3A2E45" w14:textId="5E75A18E" w:rsidR="0060293D" w:rsidRDefault="0060293D" w:rsidP="00081DD7">
      <w:pPr>
        <w:pStyle w:val="Tekst"/>
      </w:pPr>
    </w:p>
    <w:p w14:paraId="61C39F8C" w14:textId="5EF350B3" w:rsidR="0060293D" w:rsidRDefault="0060293D" w:rsidP="00081DD7">
      <w:pPr>
        <w:pStyle w:val="Tekst"/>
      </w:pPr>
      <w:r>
        <w:t>Määrus jõustub 1. jaanuaril 2021.</w:t>
      </w:r>
      <w:r w:rsidR="00FB77AB">
        <w:t xml:space="preserve"> </w:t>
      </w:r>
      <w:r>
        <w:t>a.</w:t>
      </w:r>
      <w:bookmarkStart w:id="2" w:name="_GoBack"/>
      <w:bookmarkEnd w:id="2"/>
    </w:p>
    <w:p w14:paraId="42ECD4C1" w14:textId="12AAC89B" w:rsidR="00081DD7" w:rsidRDefault="00081DD7" w:rsidP="0033746D">
      <w:pPr>
        <w:pStyle w:val="Tekst"/>
      </w:pPr>
    </w:p>
    <w:p w14:paraId="3CDEA9A4" w14:textId="67450809" w:rsidR="00081DD7" w:rsidRDefault="00081DD7" w:rsidP="0033746D">
      <w:pPr>
        <w:pStyle w:val="Tekst"/>
      </w:pPr>
    </w:p>
    <w:p w14:paraId="5E523794" w14:textId="77777777" w:rsidR="00154320" w:rsidRDefault="00154320" w:rsidP="0033746D">
      <w:pPr>
        <w:pStyle w:val="Tekst"/>
      </w:pPr>
    </w:p>
    <w:p w14:paraId="572A0589" w14:textId="7BCA335F" w:rsidR="00B358EA" w:rsidRDefault="002660FC" w:rsidP="0033746D">
      <w:pPr>
        <w:pStyle w:val="Tekst"/>
      </w:pPr>
      <w:r>
        <w:t>(allkirjastatud digitaalselt)</w:t>
      </w:r>
    </w:p>
    <w:p w14:paraId="1721CF08" w14:textId="3E4A8C34" w:rsidR="009C2001" w:rsidRDefault="009C2001" w:rsidP="0033746D">
      <w:pPr>
        <w:pStyle w:val="Tekst"/>
      </w:pPr>
      <w:r>
        <w:t xml:space="preserve">Arvo </w:t>
      </w:r>
      <w:proofErr w:type="spellStart"/>
      <w:r>
        <w:t>Aller</w:t>
      </w:r>
      <w:proofErr w:type="spellEnd"/>
    </w:p>
    <w:p w14:paraId="1ACF628E" w14:textId="77777777" w:rsidR="00B358EA" w:rsidRPr="001D46F0" w:rsidRDefault="002660FC" w:rsidP="0033746D">
      <w:pPr>
        <w:pStyle w:val="Tekst"/>
      </w:pPr>
      <w:r w:rsidRPr="001D46F0">
        <w:t>M</w:t>
      </w:r>
      <w:r w:rsidR="00AD3466">
        <w:t>aaeluminister</w:t>
      </w:r>
    </w:p>
    <w:p w14:paraId="21049A9C" w14:textId="77777777" w:rsidR="00B358EA" w:rsidRDefault="00B358EA" w:rsidP="0033746D">
      <w:pPr>
        <w:pStyle w:val="Tekst"/>
      </w:pPr>
    </w:p>
    <w:p w14:paraId="48AC25EB" w14:textId="4CF16D3F" w:rsidR="002660FC" w:rsidRDefault="002660FC" w:rsidP="0033746D">
      <w:pPr>
        <w:pStyle w:val="Tekst"/>
      </w:pPr>
      <w:r>
        <w:t>(allkirjastatud digitaalselt)</w:t>
      </w:r>
    </w:p>
    <w:p w14:paraId="64F8F93A" w14:textId="11DBB53D" w:rsidR="009C2001" w:rsidRDefault="009C2001" w:rsidP="0033746D">
      <w:pPr>
        <w:pStyle w:val="Tekst"/>
      </w:pPr>
      <w:r>
        <w:t xml:space="preserve">Tiina </w:t>
      </w:r>
      <w:proofErr w:type="spellStart"/>
      <w:r>
        <w:t>Saron</w:t>
      </w:r>
      <w:proofErr w:type="spellEnd"/>
    </w:p>
    <w:p w14:paraId="5E68D059" w14:textId="77777777" w:rsidR="008C55D1" w:rsidRPr="00BD078E" w:rsidRDefault="002660FC" w:rsidP="0033746D">
      <w:pPr>
        <w:pStyle w:val="Tekst"/>
      </w:pPr>
      <w:r w:rsidRPr="001D46F0">
        <w:t>Kantsler</w:t>
      </w:r>
    </w:p>
    <w:sectPr w:rsidR="008C55D1" w:rsidRPr="00BD078E" w:rsidSect="008C55D1">
      <w:headerReference w:type="default" r:id="rId9"/>
      <w:footerReference w:type="even" r:id="rId10"/>
      <w:footerReference w:type="default" r:id="rId11"/>
      <w:pgSz w:w="11906" w:h="16838" w:code="9"/>
      <w:pgMar w:top="907" w:right="1021" w:bottom="1418" w:left="1814" w:header="510" w:footer="510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AF34" w16cex:dateUtc="2020-11-11T16:43:00Z"/>
  <w16cex:commentExtensible w16cex:durableId="235CD88A" w16cex:dateUtc="2020-11-16T0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27A1B5" w16cid:durableId="2353A712"/>
  <w16cid:commentId w16cid:paraId="76E5FBF6" w16cid:durableId="2356AF34"/>
  <w16cid:commentId w16cid:paraId="7328EB1D" w16cid:durableId="2353A713"/>
  <w16cid:commentId w16cid:paraId="552E338A" w16cid:durableId="2353A715"/>
  <w16cid:commentId w16cid:paraId="592869B6" w16cid:durableId="2353A716"/>
  <w16cid:commentId w16cid:paraId="164C096F" w16cid:durableId="2353A717"/>
  <w16cid:commentId w16cid:paraId="64492477" w16cid:durableId="235CD88A"/>
  <w16cid:commentId w16cid:paraId="5404A7DE" w16cid:durableId="2353A718"/>
  <w16cid:commentId w16cid:paraId="19BBD040" w16cid:durableId="2353A7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70E99" w14:textId="77777777" w:rsidR="00E0091B" w:rsidRDefault="00E0091B" w:rsidP="00DF44DF">
      <w:r>
        <w:separator/>
      </w:r>
    </w:p>
  </w:endnote>
  <w:endnote w:type="continuationSeparator" w:id="0">
    <w:p w14:paraId="04B112DA" w14:textId="77777777" w:rsidR="00E0091B" w:rsidRDefault="00E0091B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13687"/>
      <w:docPartObj>
        <w:docPartGallery w:val="Page Numbers (Bottom of Page)"/>
        <w:docPartUnique/>
      </w:docPartObj>
    </w:sdtPr>
    <w:sdtEndPr/>
    <w:sdtContent>
      <w:p w14:paraId="79009D88" w14:textId="77777777" w:rsidR="005257BB" w:rsidRDefault="005257B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7A867EA" w14:textId="77777777" w:rsidR="005257BB" w:rsidRDefault="005257BB" w:rsidP="008C55D1">
    <w:pPr>
      <w:pStyle w:val="Footer"/>
      <w:tabs>
        <w:tab w:val="clear" w:pos="4536"/>
        <w:tab w:val="clear" w:pos="9072"/>
        <w:tab w:val="left" w:pos="40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66685"/>
      <w:docPartObj>
        <w:docPartGallery w:val="Page Numbers (Bottom of Page)"/>
        <w:docPartUnique/>
      </w:docPartObj>
    </w:sdtPr>
    <w:sdtEndPr/>
    <w:sdtContent>
      <w:p w14:paraId="6445692A" w14:textId="2622FAD2" w:rsidR="005257BB" w:rsidRDefault="005257B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7A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819C6" w14:textId="77777777" w:rsidR="00E0091B" w:rsidRDefault="00E0091B" w:rsidP="00DF44DF">
      <w:r>
        <w:separator/>
      </w:r>
    </w:p>
  </w:footnote>
  <w:footnote w:type="continuationSeparator" w:id="0">
    <w:p w14:paraId="54EBBF9D" w14:textId="77777777" w:rsidR="00E0091B" w:rsidRDefault="00E0091B" w:rsidP="00DF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2EED0" w14:textId="77777777" w:rsidR="005257BB" w:rsidRDefault="005257BB">
    <w:pPr>
      <w:pStyle w:val="Header"/>
      <w:jc w:val="center"/>
    </w:pPr>
  </w:p>
  <w:p w14:paraId="25A06DD7" w14:textId="77777777" w:rsidR="005257BB" w:rsidRDefault="00525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6D46"/>
    <w:multiLevelType w:val="hybridMultilevel"/>
    <w:tmpl w:val="EEA24C44"/>
    <w:lvl w:ilvl="0" w:tplc="5C1E82DA">
      <w:numFmt w:val="decimalZero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D718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47"/>
    <w:rsid w:val="000024A1"/>
    <w:rsid w:val="00017604"/>
    <w:rsid w:val="00032FCC"/>
    <w:rsid w:val="000346E1"/>
    <w:rsid w:val="000347EC"/>
    <w:rsid w:val="000358AF"/>
    <w:rsid w:val="00040B65"/>
    <w:rsid w:val="0004665A"/>
    <w:rsid w:val="00050D7F"/>
    <w:rsid w:val="00060782"/>
    <w:rsid w:val="00060947"/>
    <w:rsid w:val="00073127"/>
    <w:rsid w:val="00081DD7"/>
    <w:rsid w:val="000866C0"/>
    <w:rsid w:val="000913FC"/>
    <w:rsid w:val="000B1372"/>
    <w:rsid w:val="000B3F49"/>
    <w:rsid w:val="000C1180"/>
    <w:rsid w:val="000C5614"/>
    <w:rsid w:val="000C5E94"/>
    <w:rsid w:val="000D06E1"/>
    <w:rsid w:val="000D09C5"/>
    <w:rsid w:val="000D423C"/>
    <w:rsid w:val="000D76E9"/>
    <w:rsid w:val="000E2A94"/>
    <w:rsid w:val="000E4F8D"/>
    <w:rsid w:val="00103B3D"/>
    <w:rsid w:val="00110BCA"/>
    <w:rsid w:val="00114C21"/>
    <w:rsid w:val="00122EB5"/>
    <w:rsid w:val="001230DC"/>
    <w:rsid w:val="00124999"/>
    <w:rsid w:val="00133B51"/>
    <w:rsid w:val="00152FE2"/>
    <w:rsid w:val="00154320"/>
    <w:rsid w:val="0018653F"/>
    <w:rsid w:val="00196C1D"/>
    <w:rsid w:val="001A7D04"/>
    <w:rsid w:val="001B58EF"/>
    <w:rsid w:val="001B62FD"/>
    <w:rsid w:val="001C2821"/>
    <w:rsid w:val="001C48FE"/>
    <w:rsid w:val="001C7133"/>
    <w:rsid w:val="001D162C"/>
    <w:rsid w:val="001D46F0"/>
    <w:rsid w:val="001D4CFB"/>
    <w:rsid w:val="001E1072"/>
    <w:rsid w:val="002008A2"/>
    <w:rsid w:val="00200BA5"/>
    <w:rsid w:val="00217F0B"/>
    <w:rsid w:val="0022269C"/>
    <w:rsid w:val="00230909"/>
    <w:rsid w:val="00236BE8"/>
    <w:rsid w:val="002376AC"/>
    <w:rsid w:val="002431F1"/>
    <w:rsid w:val="0025519F"/>
    <w:rsid w:val="0026456A"/>
    <w:rsid w:val="00265AD6"/>
    <w:rsid w:val="002660FC"/>
    <w:rsid w:val="00271BB5"/>
    <w:rsid w:val="00273DF8"/>
    <w:rsid w:val="00273E8D"/>
    <w:rsid w:val="002835BB"/>
    <w:rsid w:val="00293449"/>
    <w:rsid w:val="002960E2"/>
    <w:rsid w:val="002A4C25"/>
    <w:rsid w:val="002A7220"/>
    <w:rsid w:val="002A7604"/>
    <w:rsid w:val="002B1E3B"/>
    <w:rsid w:val="002B27BD"/>
    <w:rsid w:val="002B2CB7"/>
    <w:rsid w:val="002E3273"/>
    <w:rsid w:val="002E4717"/>
    <w:rsid w:val="002E53DF"/>
    <w:rsid w:val="002E5D6E"/>
    <w:rsid w:val="002E6D0E"/>
    <w:rsid w:val="002F227D"/>
    <w:rsid w:val="002F254F"/>
    <w:rsid w:val="002F3751"/>
    <w:rsid w:val="002F64C4"/>
    <w:rsid w:val="002F716A"/>
    <w:rsid w:val="0030108B"/>
    <w:rsid w:val="00304360"/>
    <w:rsid w:val="003045BE"/>
    <w:rsid w:val="00304FC5"/>
    <w:rsid w:val="00313F80"/>
    <w:rsid w:val="00314746"/>
    <w:rsid w:val="003151EB"/>
    <w:rsid w:val="00330221"/>
    <w:rsid w:val="00335C45"/>
    <w:rsid w:val="0033746D"/>
    <w:rsid w:val="003425B0"/>
    <w:rsid w:val="00343CF9"/>
    <w:rsid w:val="00344489"/>
    <w:rsid w:val="00354059"/>
    <w:rsid w:val="00366AD8"/>
    <w:rsid w:val="00370767"/>
    <w:rsid w:val="0037451A"/>
    <w:rsid w:val="00385137"/>
    <w:rsid w:val="003904CC"/>
    <w:rsid w:val="00392C14"/>
    <w:rsid w:val="00394DCB"/>
    <w:rsid w:val="003976D9"/>
    <w:rsid w:val="00397EF1"/>
    <w:rsid w:val="003A461B"/>
    <w:rsid w:val="003A58D8"/>
    <w:rsid w:val="003B2A9C"/>
    <w:rsid w:val="003B7894"/>
    <w:rsid w:val="003C0322"/>
    <w:rsid w:val="003D4291"/>
    <w:rsid w:val="003F2632"/>
    <w:rsid w:val="003F7ACF"/>
    <w:rsid w:val="00400C05"/>
    <w:rsid w:val="004078EF"/>
    <w:rsid w:val="004103B0"/>
    <w:rsid w:val="00417B3B"/>
    <w:rsid w:val="00435A13"/>
    <w:rsid w:val="0044084D"/>
    <w:rsid w:val="00444231"/>
    <w:rsid w:val="00445BFA"/>
    <w:rsid w:val="00445FD1"/>
    <w:rsid w:val="00463A7B"/>
    <w:rsid w:val="00472365"/>
    <w:rsid w:val="0047547D"/>
    <w:rsid w:val="00476179"/>
    <w:rsid w:val="004821F5"/>
    <w:rsid w:val="00484FFD"/>
    <w:rsid w:val="0048661B"/>
    <w:rsid w:val="004911D5"/>
    <w:rsid w:val="004A3512"/>
    <w:rsid w:val="004A5E9C"/>
    <w:rsid w:val="004B2ECA"/>
    <w:rsid w:val="004B53A2"/>
    <w:rsid w:val="004B5F4F"/>
    <w:rsid w:val="004C1391"/>
    <w:rsid w:val="004D20BE"/>
    <w:rsid w:val="004F0B00"/>
    <w:rsid w:val="004F3599"/>
    <w:rsid w:val="004F369E"/>
    <w:rsid w:val="004F4271"/>
    <w:rsid w:val="00501D1C"/>
    <w:rsid w:val="0050252A"/>
    <w:rsid w:val="00507E47"/>
    <w:rsid w:val="005130D7"/>
    <w:rsid w:val="005151A1"/>
    <w:rsid w:val="00515B3E"/>
    <w:rsid w:val="005169CE"/>
    <w:rsid w:val="00517F24"/>
    <w:rsid w:val="00522FAD"/>
    <w:rsid w:val="005257BB"/>
    <w:rsid w:val="00527A82"/>
    <w:rsid w:val="00531260"/>
    <w:rsid w:val="005408D2"/>
    <w:rsid w:val="00546204"/>
    <w:rsid w:val="00551E24"/>
    <w:rsid w:val="00557534"/>
    <w:rsid w:val="00560A92"/>
    <w:rsid w:val="0056160C"/>
    <w:rsid w:val="00564569"/>
    <w:rsid w:val="00564C11"/>
    <w:rsid w:val="00566D45"/>
    <w:rsid w:val="005732B7"/>
    <w:rsid w:val="00580813"/>
    <w:rsid w:val="00597CB4"/>
    <w:rsid w:val="005A0C56"/>
    <w:rsid w:val="005B4EFD"/>
    <w:rsid w:val="005B5CE1"/>
    <w:rsid w:val="005C38C7"/>
    <w:rsid w:val="005D5703"/>
    <w:rsid w:val="005E3AED"/>
    <w:rsid w:val="005E45BB"/>
    <w:rsid w:val="005E4F9D"/>
    <w:rsid w:val="005E715B"/>
    <w:rsid w:val="005F50E5"/>
    <w:rsid w:val="005F7B23"/>
    <w:rsid w:val="00602834"/>
    <w:rsid w:val="0060293D"/>
    <w:rsid w:val="00603817"/>
    <w:rsid w:val="00604CB4"/>
    <w:rsid w:val="0061549A"/>
    <w:rsid w:val="00615B0F"/>
    <w:rsid w:val="00626CD1"/>
    <w:rsid w:val="006312FF"/>
    <w:rsid w:val="00640B3D"/>
    <w:rsid w:val="00643B10"/>
    <w:rsid w:val="0066006E"/>
    <w:rsid w:val="00680609"/>
    <w:rsid w:val="0068657F"/>
    <w:rsid w:val="006A03D5"/>
    <w:rsid w:val="006A3C2D"/>
    <w:rsid w:val="006A4DA3"/>
    <w:rsid w:val="006B552E"/>
    <w:rsid w:val="006D5CBE"/>
    <w:rsid w:val="006E0B97"/>
    <w:rsid w:val="006E0D38"/>
    <w:rsid w:val="006E16BD"/>
    <w:rsid w:val="006E4F2C"/>
    <w:rsid w:val="006E53A8"/>
    <w:rsid w:val="006F2E39"/>
    <w:rsid w:val="006F3BB9"/>
    <w:rsid w:val="006F4B4B"/>
    <w:rsid w:val="006F72D7"/>
    <w:rsid w:val="00705596"/>
    <w:rsid w:val="007056E1"/>
    <w:rsid w:val="00713327"/>
    <w:rsid w:val="00714CAF"/>
    <w:rsid w:val="007345F4"/>
    <w:rsid w:val="00742CE9"/>
    <w:rsid w:val="007436E5"/>
    <w:rsid w:val="0074485A"/>
    <w:rsid w:val="00744F83"/>
    <w:rsid w:val="0074711F"/>
    <w:rsid w:val="00754C29"/>
    <w:rsid w:val="00754CDD"/>
    <w:rsid w:val="0075695A"/>
    <w:rsid w:val="0076054B"/>
    <w:rsid w:val="0076352B"/>
    <w:rsid w:val="00772351"/>
    <w:rsid w:val="0078186E"/>
    <w:rsid w:val="00783081"/>
    <w:rsid w:val="00784FB7"/>
    <w:rsid w:val="00793A3C"/>
    <w:rsid w:val="007A1DE8"/>
    <w:rsid w:val="007D547B"/>
    <w:rsid w:val="007D54FC"/>
    <w:rsid w:val="007E3A99"/>
    <w:rsid w:val="007E7FCC"/>
    <w:rsid w:val="007F36EF"/>
    <w:rsid w:val="007F384C"/>
    <w:rsid w:val="007F55B0"/>
    <w:rsid w:val="00800664"/>
    <w:rsid w:val="00801F5A"/>
    <w:rsid w:val="00802F23"/>
    <w:rsid w:val="00804A64"/>
    <w:rsid w:val="008144D6"/>
    <w:rsid w:val="00833AC3"/>
    <w:rsid w:val="00835858"/>
    <w:rsid w:val="008410D0"/>
    <w:rsid w:val="00842711"/>
    <w:rsid w:val="00861044"/>
    <w:rsid w:val="008663CA"/>
    <w:rsid w:val="00871F78"/>
    <w:rsid w:val="00874681"/>
    <w:rsid w:val="00874DA5"/>
    <w:rsid w:val="0087504D"/>
    <w:rsid w:val="008919F2"/>
    <w:rsid w:val="00891A1B"/>
    <w:rsid w:val="00897940"/>
    <w:rsid w:val="008A6AE1"/>
    <w:rsid w:val="008A6C58"/>
    <w:rsid w:val="008B4276"/>
    <w:rsid w:val="008C3E2D"/>
    <w:rsid w:val="008C55D1"/>
    <w:rsid w:val="008C7970"/>
    <w:rsid w:val="008D3610"/>
    <w:rsid w:val="008D4634"/>
    <w:rsid w:val="008D69A2"/>
    <w:rsid w:val="008E6F74"/>
    <w:rsid w:val="008F0079"/>
    <w:rsid w:val="008F0B50"/>
    <w:rsid w:val="00900D1B"/>
    <w:rsid w:val="0091786B"/>
    <w:rsid w:val="0092374B"/>
    <w:rsid w:val="00927450"/>
    <w:rsid w:val="00932A86"/>
    <w:rsid w:val="00932CDE"/>
    <w:rsid w:val="009370A4"/>
    <w:rsid w:val="009709A8"/>
    <w:rsid w:val="009847F6"/>
    <w:rsid w:val="00990B03"/>
    <w:rsid w:val="009B1884"/>
    <w:rsid w:val="009B3BFF"/>
    <w:rsid w:val="009C2001"/>
    <w:rsid w:val="009C3D56"/>
    <w:rsid w:val="009D14FA"/>
    <w:rsid w:val="009E7F4A"/>
    <w:rsid w:val="00A00D6A"/>
    <w:rsid w:val="00A039F4"/>
    <w:rsid w:val="00A10E66"/>
    <w:rsid w:val="00A12220"/>
    <w:rsid w:val="00A1244E"/>
    <w:rsid w:val="00A1501A"/>
    <w:rsid w:val="00A16FD9"/>
    <w:rsid w:val="00A272E0"/>
    <w:rsid w:val="00A35999"/>
    <w:rsid w:val="00A552FC"/>
    <w:rsid w:val="00A557D3"/>
    <w:rsid w:val="00A55AE7"/>
    <w:rsid w:val="00A6003D"/>
    <w:rsid w:val="00A61BFD"/>
    <w:rsid w:val="00A653D4"/>
    <w:rsid w:val="00A6588F"/>
    <w:rsid w:val="00A726EB"/>
    <w:rsid w:val="00A74789"/>
    <w:rsid w:val="00A749ED"/>
    <w:rsid w:val="00A766B4"/>
    <w:rsid w:val="00A7702D"/>
    <w:rsid w:val="00A835DD"/>
    <w:rsid w:val="00A839F2"/>
    <w:rsid w:val="00A86118"/>
    <w:rsid w:val="00A9543D"/>
    <w:rsid w:val="00AA168E"/>
    <w:rsid w:val="00AA3CD1"/>
    <w:rsid w:val="00AB76EB"/>
    <w:rsid w:val="00AC197F"/>
    <w:rsid w:val="00AC19F0"/>
    <w:rsid w:val="00AC4557"/>
    <w:rsid w:val="00AD2EA7"/>
    <w:rsid w:val="00AD3466"/>
    <w:rsid w:val="00AD571D"/>
    <w:rsid w:val="00AD59E6"/>
    <w:rsid w:val="00AD6314"/>
    <w:rsid w:val="00AD6A26"/>
    <w:rsid w:val="00AE0714"/>
    <w:rsid w:val="00AE726B"/>
    <w:rsid w:val="00AF44C6"/>
    <w:rsid w:val="00AF6E48"/>
    <w:rsid w:val="00B00174"/>
    <w:rsid w:val="00B3199A"/>
    <w:rsid w:val="00B358EA"/>
    <w:rsid w:val="00B45C1C"/>
    <w:rsid w:val="00B4609B"/>
    <w:rsid w:val="00B5210D"/>
    <w:rsid w:val="00B62151"/>
    <w:rsid w:val="00B7449B"/>
    <w:rsid w:val="00B7514D"/>
    <w:rsid w:val="00B803AC"/>
    <w:rsid w:val="00B94D49"/>
    <w:rsid w:val="00B95665"/>
    <w:rsid w:val="00BA4C83"/>
    <w:rsid w:val="00BB1851"/>
    <w:rsid w:val="00BB5EC2"/>
    <w:rsid w:val="00BC1A62"/>
    <w:rsid w:val="00BC5C27"/>
    <w:rsid w:val="00BD0540"/>
    <w:rsid w:val="00BD078E"/>
    <w:rsid w:val="00BD0D98"/>
    <w:rsid w:val="00BD3CCF"/>
    <w:rsid w:val="00BD6CA9"/>
    <w:rsid w:val="00BF223D"/>
    <w:rsid w:val="00BF4D7C"/>
    <w:rsid w:val="00BF6E68"/>
    <w:rsid w:val="00C0755F"/>
    <w:rsid w:val="00C1004F"/>
    <w:rsid w:val="00C106C7"/>
    <w:rsid w:val="00C11909"/>
    <w:rsid w:val="00C206BF"/>
    <w:rsid w:val="00C2234D"/>
    <w:rsid w:val="00C23A24"/>
    <w:rsid w:val="00C24F66"/>
    <w:rsid w:val="00C27B07"/>
    <w:rsid w:val="00C32815"/>
    <w:rsid w:val="00C419FC"/>
    <w:rsid w:val="00C41FC5"/>
    <w:rsid w:val="00C476FB"/>
    <w:rsid w:val="00C47726"/>
    <w:rsid w:val="00C524E7"/>
    <w:rsid w:val="00C55924"/>
    <w:rsid w:val="00C57DA7"/>
    <w:rsid w:val="00C60B1D"/>
    <w:rsid w:val="00C651F2"/>
    <w:rsid w:val="00C656AF"/>
    <w:rsid w:val="00C673C3"/>
    <w:rsid w:val="00C800A4"/>
    <w:rsid w:val="00C83346"/>
    <w:rsid w:val="00C85BE7"/>
    <w:rsid w:val="00C90E39"/>
    <w:rsid w:val="00CA16C2"/>
    <w:rsid w:val="00CA38D4"/>
    <w:rsid w:val="00CA583B"/>
    <w:rsid w:val="00CA5F0B"/>
    <w:rsid w:val="00CB2C72"/>
    <w:rsid w:val="00CB472E"/>
    <w:rsid w:val="00CC3FA5"/>
    <w:rsid w:val="00CC5649"/>
    <w:rsid w:val="00CD6156"/>
    <w:rsid w:val="00CD632F"/>
    <w:rsid w:val="00CD7740"/>
    <w:rsid w:val="00CE30E3"/>
    <w:rsid w:val="00CF0827"/>
    <w:rsid w:val="00CF0D7B"/>
    <w:rsid w:val="00CF1BA4"/>
    <w:rsid w:val="00CF2B77"/>
    <w:rsid w:val="00CF4303"/>
    <w:rsid w:val="00D1483E"/>
    <w:rsid w:val="00D172DE"/>
    <w:rsid w:val="00D23957"/>
    <w:rsid w:val="00D2486F"/>
    <w:rsid w:val="00D26CCC"/>
    <w:rsid w:val="00D376AA"/>
    <w:rsid w:val="00D40650"/>
    <w:rsid w:val="00D41F9E"/>
    <w:rsid w:val="00D42C89"/>
    <w:rsid w:val="00D559F8"/>
    <w:rsid w:val="00D8043C"/>
    <w:rsid w:val="00D8202D"/>
    <w:rsid w:val="00D90CA4"/>
    <w:rsid w:val="00DA09EA"/>
    <w:rsid w:val="00DA5AAE"/>
    <w:rsid w:val="00DA6650"/>
    <w:rsid w:val="00DB390F"/>
    <w:rsid w:val="00DB68D3"/>
    <w:rsid w:val="00DC6689"/>
    <w:rsid w:val="00DD7C69"/>
    <w:rsid w:val="00DE2354"/>
    <w:rsid w:val="00DE370E"/>
    <w:rsid w:val="00DE3EAE"/>
    <w:rsid w:val="00DF39F0"/>
    <w:rsid w:val="00DF44DF"/>
    <w:rsid w:val="00E00543"/>
    <w:rsid w:val="00E0091B"/>
    <w:rsid w:val="00E023F6"/>
    <w:rsid w:val="00E03DBB"/>
    <w:rsid w:val="00E1170C"/>
    <w:rsid w:val="00E3728F"/>
    <w:rsid w:val="00E40B5C"/>
    <w:rsid w:val="00E50051"/>
    <w:rsid w:val="00E53E53"/>
    <w:rsid w:val="00E55203"/>
    <w:rsid w:val="00E62493"/>
    <w:rsid w:val="00E640FC"/>
    <w:rsid w:val="00E65BEF"/>
    <w:rsid w:val="00E66B4C"/>
    <w:rsid w:val="00E82896"/>
    <w:rsid w:val="00E919E9"/>
    <w:rsid w:val="00E91AE0"/>
    <w:rsid w:val="00E974EE"/>
    <w:rsid w:val="00EB62AB"/>
    <w:rsid w:val="00EC1594"/>
    <w:rsid w:val="00ED7C3C"/>
    <w:rsid w:val="00EE1725"/>
    <w:rsid w:val="00EF1500"/>
    <w:rsid w:val="00EF3841"/>
    <w:rsid w:val="00F07B9C"/>
    <w:rsid w:val="00F25A4E"/>
    <w:rsid w:val="00F4058B"/>
    <w:rsid w:val="00F40C8F"/>
    <w:rsid w:val="00F416E0"/>
    <w:rsid w:val="00F52DDF"/>
    <w:rsid w:val="00F73BA4"/>
    <w:rsid w:val="00F74794"/>
    <w:rsid w:val="00F80F8D"/>
    <w:rsid w:val="00F838D9"/>
    <w:rsid w:val="00F937EA"/>
    <w:rsid w:val="00F9645B"/>
    <w:rsid w:val="00FB04B5"/>
    <w:rsid w:val="00FB29ED"/>
    <w:rsid w:val="00FB3467"/>
    <w:rsid w:val="00FB77AB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90ED07F"/>
  <w15:docId w15:val="{6A786432-0E2D-43EB-BDB3-331DBC8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8E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Pealkiri1">
    <w:name w:val="Pealkiri1"/>
    <w:autoRedefine/>
    <w:qFormat/>
    <w:rsid w:val="00E62493"/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33746D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1D46F0"/>
    <w:pPr>
      <w:spacing w:before="840"/>
      <w:ind w:left="29"/>
      <w:jc w:val="both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358E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358EA"/>
    <w:rPr>
      <w:rFonts w:cs="Mangal"/>
      <w:szCs w:val="21"/>
    </w:rPr>
  </w:style>
  <w:style w:type="character" w:styleId="CommentReference">
    <w:name w:val="annotation reference"/>
    <w:basedOn w:val="DefaultParagraphFont"/>
    <w:semiHidden/>
    <w:unhideWhenUsed/>
    <w:rsid w:val="003043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04360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rsid w:val="00304360"/>
    <w:rPr>
      <w:rFonts w:eastAsia="SimSun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360"/>
    <w:rPr>
      <w:rFonts w:eastAsia="SimSun" w:cs="Mangal"/>
      <w:b/>
      <w:bCs/>
      <w:kern w:val="1"/>
      <w:szCs w:val="18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549A"/>
    <w:pPr>
      <w:spacing w:line="240" w:lineRule="auto"/>
    </w:pPr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49A"/>
    <w:rPr>
      <w:rFonts w:eastAsia="SimSun" w:cs="Mangal"/>
      <w:kern w:val="1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615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4B927DF-325C-4605-A68D-A823F6EE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1352</Words>
  <Characters>7846</Characters>
  <Application>Microsoft Office Word</Application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Siim Suure</dc:creator>
  <cp:lastModifiedBy>Birgit Pai</cp:lastModifiedBy>
  <cp:revision>3</cp:revision>
  <cp:lastPrinted>2020-02-10T13:26:00Z</cp:lastPrinted>
  <dcterms:created xsi:type="dcterms:W3CDTF">2020-12-10T11:54:00Z</dcterms:created>
  <dcterms:modified xsi:type="dcterms:W3CDTF">2020-12-10T11:56:00Z</dcterms:modified>
</cp:coreProperties>
</file>