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7DC96" w14:textId="77777777" w:rsidR="004D33AE" w:rsidRPr="002A578D" w:rsidRDefault="004D33AE" w:rsidP="0060581A">
      <w:pPr>
        <w:keepNext/>
        <w:keepLines/>
        <w:suppressLineNumbers/>
        <w:autoSpaceDE/>
        <w:autoSpaceDN/>
        <w:jc w:val="right"/>
        <w:rPr>
          <w:rFonts w:eastAsia="SimSun"/>
          <w:b/>
          <w:bCs/>
          <w:kern w:val="1"/>
          <w:sz w:val="20"/>
          <w:szCs w:val="20"/>
          <w:lang w:eastAsia="zh-CN" w:bidi="hi-IN"/>
        </w:rPr>
      </w:pPr>
      <w:bookmarkStart w:id="0" w:name="_GoBack"/>
      <w:bookmarkEnd w:id="0"/>
    </w:p>
    <w:p w14:paraId="34BE40D4" w14:textId="77777777" w:rsidR="00FA7F23" w:rsidRPr="002A578D" w:rsidRDefault="00FA7F23" w:rsidP="000F3352">
      <w:pPr>
        <w:rPr>
          <w:b/>
          <w:bCs/>
        </w:rPr>
      </w:pPr>
      <w:r w:rsidRPr="002A578D">
        <w:rPr>
          <w:noProof/>
          <w:lang w:eastAsia="et-EE"/>
        </w:rPr>
        <mc:AlternateContent>
          <mc:Choice Requires="wps">
            <w:drawing>
              <wp:anchor distT="0" distB="0" distL="114300" distR="114300" simplePos="0" relativeHeight="251659264" behindDoc="0" locked="0" layoutInCell="1" allowOverlap="1" wp14:anchorId="47FE607D" wp14:editId="04C87661">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5D3E900E" w14:textId="27E0A6B7" w:rsidR="000F2897" w:rsidRDefault="000F2897"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7FE607D"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5D3E900E" w14:textId="27E0A6B7" w:rsidR="000F2897" w:rsidRDefault="000F2897" w:rsidP="000F3352">
                      <w:pPr>
                        <w:rPr>
                          <w:sz w:val="20"/>
                          <w:szCs w:val="20"/>
                        </w:rPr>
                      </w:pPr>
                    </w:p>
                  </w:txbxContent>
                </v:textbox>
              </v:shape>
            </w:pict>
          </mc:Fallback>
        </mc:AlternateContent>
      </w:r>
    </w:p>
    <w:p w14:paraId="01C9DC50" w14:textId="77777777" w:rsidR="0060581A" w:rsidRPr="002A578D" w:rsidRDefault="0060581A" w:rsidP="000F3352">
      <w:pPr>
        <w:rPr>
          <w:b/>
          <w:bCs/>
        </w:rPr>
      </w:pPr>
    </w:p>
    <w:p w14:paraId="38158DA1" w14:textId="77777777" w:rsidR="0060581A" w:rsidRPr="002A578D" w:rsidRDefault="0060581A" w:rsidP="0060581A">
      <w:pPr>
        <w:rPr>
          <w:b/>
          <w:bCs/>
        </w:rPr>
      </w:pPr>
    </w:p>
    <w:p w14:paraId="2DE7258B" w14:textId="77777777" w:rsidR="005560E8" w:rsidRPr="002A578D" w:rsidRDefault="005560E8" w:rsidP="0060581A">
      <w:pPr>
        <w:rPr>
          <w:b/>
          <w:bCs/>
        </w:rPr>
      </w:pPr>
    </w:p>
    <w:p w14:paraId="17981DFD" w14:textId="77777777" w:rsidR="002D6483" w:rsidRPr="002A578D" w:rsidRDefault="002D6483" w:rsidP="002D6483">
      <w:pPr>
        <w:jc w:val="center"/>
        <w:rPr>
          <w:b/>
          <w:bCs/>
        </w:rPr>
      </w:pPr>
      <w:r w:rsidRPr="002A578D">
        <w:rPr>
          <w:b/>
          <w:bCs/>
        </w:rPr>
        <w:t>SELETUSKIRI</w:t>
      </w:r>
    </w:p>
    <w:p w14:paraId="41C33A3E" w14:textId="43E9D69A" w:rsidR="002D6483" w:rsidRPr="002A578D" w:rsidRDefault="005D7BF1" w:rsidP="002D6483">
      <w:pPr>
        <w:jc w:val="center"/>
        <w:rPr>
          <w:b/>
          <w:bCs/>
        </w:rPr>
      </w:pPr>
      <w:r>
        <w:rPr>
          <w:b/>
          <w:bCs/>
        </w:rPr>
        <w:t>m</w:t>
      </w:r>
      <w:r w:rsidR="00CC2ABD" w:rsidRPr="002A578D">
        <w:rPr>
          <w:b/>
          <w:bCs/>
        </w:rPr>
        <w:t>aaelu</w:t>
      </w:r>
      <w:r w:rsidR="002D6483" w:rsidRPr="002A578D">
        <w:rPr>
          <w:b/>
          <w:bCs/>
        </w:rPr>
        <w:t xml:space="preserve">ministri määruse </w:t>
      </w:r>
      <w:r w:rsidR="00772CC8">
        <w:rPr>
          <w:b/>
          <w:bCs/>
        </w:rPr>
        <w:t>„</w:t>
      </w:r>
      <w:r w:rsidR="00C45846" w:rsidRPr="00C45846">
        <w:rPr>
          <w:b/>
          <w:bCs/>
        </w:rPr>
        <w:t>Maaeluministri 20. juuli 2016. a määruse nr 45 „Põllumajandustoodete töötlemise ja turustamise investeeringutoetus suurprojektide elluviimiseks“ muutmine</w:t>
      </w:r>
      <w:r w:rsidR="00CC2ABD" w:rsidRPr="002A578D">
        <w:rPr>
          <w:b/>
          <w:bCs/>
        </w:rPr>
        <w:t>“</w:t>
      </w:r>
      <w:r w:rsidR="002D6483" w:rsidRPr="002A578D">
        <w:rPr>
          <w:b/>
          <w:bCs/>
        </w:rPr>
        <w:t xml:space="preserve"> eelnõu juurde</w:t>
      </w:r>
    </w:p>
    <w:p w14:paraId="799E335D" w14:textId="77777777" w:rsidR="002D6483" w:rsidRPr="002A578D" w:rsidRDefault="002D6483" w:rsidP="002D6483">
      <w:pPr>
        <w:rPr>
          <w:b/>
          <w:bCs/>
        </w:rPr>
      </w:pPr>
    </w:p>
    <w:p w14:paraId="452564A1" w14:textId="77777777" w:rsidR="002D6483" w:rsidRPr="002A578D" w:rsidRDefault="002D6483" w:rsidP="002D6483">
      <w:pPr>
        <w:rPr>
          <w:b/>
          <w:bCs/>
        </w:rPr>
      </w:pPr>
      <w:r w:rsidRPr="002A578D">
        <w:rPr>
          <w:b/>
          <w:bCs/>
        </w:rPr>
        <w:t>1. Sissejuhatus</w:t>
      </w:r>
    </w:p>
    <w:p w14:paraId="4692596B" w14:textId="77777777" w:rsidR="002D6483" w:rsidRPr="002A578D" w:rsidRDefault="002D6483" w:rsidP="002D6483">
      <w:pPr>
        <w:rPr>
          <w:b/>
          <w:bCs/>
        </w:rPr>
      </w:pPr>
    </w:p>
    <w:p w14:paraId="777D2B0B" w14:textId="1506793C" w:rsidR="0058025F" w:rsidRPr="002A578D" w:rsidRDefault="0058025F" w:rsidP="004356F0">
      <w:pPr>
        <w:jc w:val="both"/>
      </w:pPr>
      <w:r w:rsidRPr="002A578D">
        <w:t xml:space="preserve">Maaeluministri määrus kehtestatakse Euroopa Liidu ühise põllumajanduspoliitika rakendamise seaduse (edaspidi </w:t>
      </w:r>
      <w:r w:rsidRPr="002A578D">
        <w:rPr>
          <w:i/>
        </w:rPr>
        <w:t>ELÜPS</w:t>
      </w:r>
      <w:r w:rsidRPr="002A578D">
        <w:t xml:space="preserve">) § 67 lõike 2 </w:t>
      </w:r>
      <w:r w:rsidR="005D7BF1">
        <w:t>alusel</w:t>
      </w:r>
      <w:r w:rsidR="00B16C16" w:rsidRPr="002A578D">
        <w:t>.</w:t>
      </w:r>
    </w:p>
    <w:p w14:paraId="6DF02761" w14:textId="6078FE23" w:rsidR="00364F7C" w:rsidRDefault="00364F7C" w:rsidP="004356F0">
      <w:pPr>
        <w:jc w:val="both"/>
      </w:pPr>
    </w:p>
    <w:p w14:paraId="6B264821" w14:textId="44039049" w:rsidR="00364F7C" w:rsidRPr="002A578D" w:rsidRDefault="00364F7C" w:rsidP="004356F0">
      <w:pPr>
        <w:jc w:val="both"/>
      </w:pPr>
      <w:r w:rsidRPr="00364F7C">
        <w:t xml:space="preserve">Määrus hõlmab „Eesti maaelu arengukava 2014–2020“ (edaspidi </w:t>
      </w:r>
      <w:r w:rsidRPr="00364F7C">
        <w:rPr>
          <w:i/>
        </w:rPr>
        <w:t>arengukava</w:t>
      </w:r>
      <w:r w:rsidRPr="00364F7C">
        <w:t xml:space="preserve">) meetme 4 „Investeeringud materiaalsesse varasse“ tegevuse liigi 4.2 alameedet </w:t>
      </w:r>
      <w:r w:rsidR="008C77B7">
        <w:t xml:space="preserve">4.2.4 </w:t>
      </w:r>
      <w:r w:rsidRPr="00364F7C">
        <w:t>„</w:t>
      </w:r>
      <w:r w:rsidR="00C45846">
        <w:t>Põllumajandustoodete töötlemise ja turustamise investeeringutoetus suurprojektide elluviimiseks</w:t>
      </w:r>
      <w:r>
        <w:t xml:space="preserve">“ (edaspidi </w:t>
      </w:r>
      <w:r w:rsidRPr="00364F7C">
        <w:rPr>
          <w:i/>
        </w:rPr>
        <w:t>meede 4.2.</w:t>
      </w:r>
      <w:r w:rsidR="00C45846">
        <w:rPr>
          <w:i/>
        </w:rPr>
        <w:t>4</w:t>
      </w:r>
      <w:r w:rsidRPr="00364F7C">
        <w:t>)</w:t>
      </w:r>
      <w:r>
        <w:t>.</w:t>
      </w:r>
    </w:p>
    <w:p w14:paraId="44C96FC2" w14:textId="77777777" w:rsidR="0058025F" w:rsidRPr="002A578D" w:rsidRDefault="0058025F" w:rsidP="004356F0">
      <w:pPr>
        <w:jc w:val="both"/>
      </w:pPr>
    </w:p>
    <w:p w14:paraId="5D3542D9" w14:textId="02C3B71D" w:rsidR="00931738" w:rsidRDefault="00C45846" w:rsidP="004356F0">
      <w:pPr>
        <w:jc w:val="both"/>
      </w:pPr>
      <w:r w:rsidRPr="00C45846">
        <w:t>Maaeluministri 20. juuli 2016. a määruse</w:t>
      </w:r>
      <w:r w:rsidR="00A95AD4">
        <w:t>s</w:t>
      </w:r>
      <w:r w:rsidRPr="00C45846">
        <w:t xml:space="preserve"> nr 45 „Põllumajandustoodete töötlemise ja turustamise investeeringutoetus suurpr</w:t>
      </w:r>
      <w:r w:rsidR="00A95AD4">
        <w:t xml:space="preserve">ojektide elluviimiseks“ </w:t>
      </w:r>
      <w:r w:rsidR="00BF4FAD" w:rsidRPr="002A578D">
        <w:t xml:space="preserve">(edaspidi </w:t>
      </w:r>
      <w:r w:rsidR="00A95AD4">
        <w:rPr>
          <w:i/>
        </w:rPr>
        <w:t>määrus</w:t>
      </w:r>
      <w:r w:rsidR="00BF4FAD" w:rsidRPr="002A578D">
        <w:t>)</w:t>
      </w:r>
      <w:r w:rsidR="00A95AD4">
        <w:t xml:space="preserve"> tehakse vajalikud muudatused, mille</w:t>
      </w:r>
      <w:r w:rsidR="00BF4FAD" w:rsidRPr="002A578D">
        <w:t xml:space="preserve"> </w:t>
      </w:r>
      <w:r w:rsidR="00534D68">
        <w:t>kohaselt</w:t>
      </w:r>
      <w:r w:rsidR="00EF20F0" w:rsidRPr="00EF20F0">
        <w:t xml:space="preserve"> </w:t>
      </w:r>
      <w:r w:rsidR="00931738">
        <w:t xml:space="preserve">peab toetuse saaja </w:t>
      </w:r>
      <w:r w:rsidR="00772CC8">
        <w:t xml:space="preserve">hiljemalt </w:t>
      </w:r>
      <w:r w:rsidR="00931738">
        <w:t xml:space="preserve">kolmanda aasta lõpuks </w:t>
      </w:r>
      <w:r w:rsidR="00931738" w:rsidRPr="00931738">
        <w:t>arvates Põllumajanduse Regi</w:t>
      </w:r>
      <w:r w:rsidR="00931738">
        <w:t>strite ja Informatsiooni Ameti</w:t>
      </w:r>
      <w:r w:rsidR="00931738" w:rsidRPr="00931738">
        <w:t xml:space="preserve"> (edaspidi </w:t>
      </w:r>
      <w:r w:rsidR="00931738" w:rsidRPr="00931738">
        <w:rPr>
          <w:i/>
        </w:rPr>
        <w:t>PRIA</w:t>
      </w:r>
      <w:r w:rsidR="00931738" w:rsidRPr="00931738">
        <w:t xml:space="preserve">) </w:t>
      </w:r>
      <w:r w:rsidR="00931738" w:rsidRPr="006C48C8">
        <w:t xml:space="preserve">poolt taotluse rahuldamise otsuse tegemisest esitama tegevusaruande, kus on </w:t>
      </w:r>
      <w:r w:rsidR="00D47A7B" w:rsidRPr="006C48C8">
        <w:t xml:space="preserve">toodud </w:t>
      </w:r>
      <w:r w:rsidR="009515A4" w:rsidRPr="006C48C8">
        <w:t xml:space="preserve">ülevaade </w:t>
      </w:r>
      <w:r w:rsidR="00676152" w:rsidRPr="006C48C8">
        <w:t xml:space="preserve">uue ettevõtte rajamise </w:t>
      </w:r>
      <w:r w:rsidR="00744A1B" w:rsidRPr="006C48C8">
        <w:t>hetkeseisust</w:t>
      </w:r>
      <w:r w:rsidR="006C48C8" w:rsidRPr="006C48C8">
        <w:t xml:space="preserve"> lähtudes määruse §-s 16 nimetatud lisadokumentides</w:t>
      </w:r>
      <w:r w:rsidR="00D47A7B" w:rsidRPr="006C48C8">
        <w:t xml:space="preserve"> kirjeldatus</w:t>
      </w:r>
      <w:r w:rsidR="00A95AD4" w:rsidRPr="006C48C8">
        <w:t>t</w:t>
      </w:r>
      <w:r w:rsidR="00D47A7B" w:rsidRPr="006C48C8">
        <w:t xml:space="preserve">, </w:t>
      </w:r>
      <w:r w:rsidR="00676152" w:rsidRPr="006C48C8">
        <w:t>andmed toetatava tegevuse elluviimiseks sõlmitud lepingu eesmärgi, lepingu sõlmimise kuupäeva, lepingupoolte ja lepingu numbri kohta</w:t>
      </w:r>
      <w:r w:rsidR="006C48C8" w:rsidRPr="006C48C8">
        <w:t>, prognoos toetatava tegevuse elluviimist tõendavate dokumentide esitamise kohta</w:t>
      </w:r>
      <w:r w:rsidR="00D47A7B" w:rsidRPr="006C48C8">
        <w:t xml:space="preserve">, </w:t>
      </w:r>
      <w:r w:rsidR="009515A4" w:rsidRPr="006C48C8">
        <w:t>toetatava tegevuse</w:t>
      </w:r>
      <w:r w:rsidR="00D47A7B" w:rsidRPr="006C48C8">
        <w:t xml:space="preserve"> elluviimise </w:t>
      </w:r>
      <w:r w:rsidR="00676152" w:rsidRPr="006C48C8">
        <w:t xml:space="preserve">senine ja edasine </w:t>
      </w:r>
      <w:r w:rsidR="00D47A7B" w:rsidRPr="006C48C8">
        <w:t xml:space="preserve">ajakava ja </w:t>
      </w:r>
      <w:r w:rsidR="00772CC8" w:rsidRPr="006C48C8">
        <w:t xml:space="preserve">hinnang toetatava tegevuse </w:t>
      </w:r>
      <w:r w:rsidR="00D47A7B" w:rsidRPr="006C48C8">
        <w:t>eesmär</w:t>
      </w:r>
      <w:r w:rsidR="00772CC8" w:rsidRPr="006C48C8">
        <w:t>gi</w:t>
      </w:r>
      <w:r w:rsidR="00D47A7B" w:rsidRPr="006C48C8">
        <w:t xml:space="preserve"> saavutamise </w:t>
      </w:r>
      <w:r w:rsidR="00772CC8" w:rsidRPr="006C48C8">
        <w:t>tõenäosus</w:t>
      </w:r>
      <w:r w:rsidR="00A059A6" w:rsidRPr="006C48C8">
        <w:t>e kohta</w:t>
      </w:r>
      <w:r w:rsidR="008C77B7" w:rsidRPr="006C48C8">
        <w:t>.</w:t>
      </w:r>
      <w:r w:rsidR="00A059A6" w:rsidRPr="006C48C8">
        <w:t xml:space="preserve"> </w:t>
      </w:r>
      <w:r w:rsidR="00214740" w:rsidRPr="006C48C8">
        <w:t>Lis</w:t>
      </w:r>
      <w:r w:rsidR="006C48C8" w:rsidRPr="006C48C8">
        <w:t>aks täpsustatakse toetuse saaja kohustusi. A</w:t>
      </w:r>
      <w:r w:rsidR="00931738" w:rsidRPr="006C48C8">
        <w:t>lates neljandast aastast arvate</w:t>
      </w:r>
      <w:r w:rsidR="00A059A6" w:rsidRPr="006C48C8">
        <w:t>s</w:t>
      </w:r>
      <w:r w:rsidR="00931738" w:rsidRPr="006C48C8">
        <w:t xml:space="preserve"> PRIA poolt taotluse rahuldamise otsuse tegemisest</w:t>
      </w:r>
      <w:r w:rsidR="00214740" w:rsidRPr="006C48C8">
        <w:t xml:space="preserve"> peab toetuse saaja</w:t>
      </w:r>
      <w:r w:rsidR="00931738" w:rsidRPr="006C48C8">
        <w:t xml:space="preserve"> esitama PRIA-le iga kuue kuu tagant kuni </w:t>
      </w:r>
      <w:r w:rsidR="00A059A6" w:rsidRPr="006C48C8">
        <w:t xml:space="preserve">toetatava </w:t>
      </w:r>
      <w:r w:rsidR="00931738" w:rsidRPr="006C48C8">
        <w:t>tegevuse täieliku elluviimiseni ülevaate uue ettevõtte rajamise hetkeseisust.</w:t>
      </w:r>
      <w:r w:rsidR="00676152" w:rsidRPr="006C48C8">
        <w:t xml:space="preserve"> Teiseks peab toetuse saaja teavitama viivitamata PRIA-t taotluses esitatud või toetatava tegevusega seotud andmete muutumisest või tegevuse ell</w:t>
      </w:r>
      <w:r w:rsidR="00C65C3A" w:rsidRPr="006C48C8">
        <w:t>uviimist takistavast asjaolus</w:t>
      </w:r>
      <w:r w:rsidR="00F96A4F" w:rsidRPr="006C48C8">
        <w:t>t</w:t>
      </w:r>
      <w:r w:rsidR="00C65C3A" w:rsidRPr="006C48C8">
        <w:t>.</w:t>
      </w:r>
      <w:r w:rsidR="00913084">
        <w:t xml:space="preserve"> </w:t>
      </w:r>
      <w:r w:rsidR="00913084" w:rsidRPr="00A8712F">
        <w:t>Samuti pikendatakse</w:t>
      </w:r>
      <w:r w:rsidR="00A8712F" w:rsidRPr="00A8712F">
        <w:t xml:space="preserve"> tegevuse elluviimise tähtaega kuni 2023. aasta 30 juunini.</w:t>
      </w:r>
    </w:p>
    <w:p w14:paraId="7EEC73C8" w14:textId="77777777" w:rsidR="00EF20F0" w:rsidRPr="002A578D" w:rsidRDefault="00EF20F0" w:rsidP="004356F0">
      <w:pPr>
        <w:jc w:val="both"/>
      </w:pPr>
    </w:p>
    <w:p w14:paraId="0779C3FC" w14:textId="7CCDECB1" w:rsidR="00CD1DE1" w:rsidRPr="003E4798" w:rsidRDefault="0058025F" w:rsidP="004356F0">
      <w:pPr>
        <w:jc w:val="both"/>
      </w:pPr>
      <w:r w:rsidRPr="002A578D">
        <w:t xml:space="preserve">Määruse </w:t>
      </w:r>
      <w:r w:rsidR="000B5897" w:rsidRPr="002A578D">
        <w:t>eelnõu ja seletuskirja koostas</w:t>
      </w:r>
      <w:r w:rsidRPr="002A578D">
        <w:t xml:space="preserve"> Maaeluministeeriumi </w:t>
      </w:r>
      <w:r w:rsidR="005406A7">
        <w:t xml:space="preserve">põllumajanduspoliitika osakonna põllumajandus- ja toidusektori arengu büroo juhataja </w:t>
      </w:r>
      <w:r w:rsidRPr="002A578D">
        <w:t>Janeli Tikk (625</w:t>
      </w:r>
      <w:r w:rsidR="00C7376C">
        <w:t> </w:t>
      </w:r>
      <w:r w:rsidRPr="002A578D">
        <w:t xml:space="preserve">6299, </w:t>
      </w:r>
      <w:hyperlink r:id="rId8" w:history="1">
        <w:r w:rsidRPr="00EF20F0">
          <w:rPr>
            <w:rStyle w:val="Hyperlink"/>
          </w:rPr>
          <w:t>janeli.tikk@agri.ee</w:t>
        </w:r>
      </w:hyperlink>
      <w:r w:rsidRPr="002A578D">
        <w:t>). Juriidilise ekspertiisi määruse eelnõule tegi Maaeluministeeriumi õi</w:t>
      </w:r>
      <w:r w:rsidR="004F2A5F" w:rsidRPr="003E4798">
        <w:t>gusosakonna nõunik Kadri Jänes</w:t>
      </w:r>
      <w:r w:rsidRPr="002A578D">
        <w:t xml:space="preserve"> (625 6539, </w:t>
      </w:r>
      <w:hyperlink r:id="rId9" w:history="1">
        <w:r w:rsidR="004F2A5F" w:rsidRPr="00EF20F0">
          <w:rPr>
            <w:rStyle w:val="Hyperlink"/>
          </w:rPr>
          <w:t>kadri.janes@agri.ee</w:t>
        </w:r>
      </w:hyperlink>
      <w:r w:rsidRPr="002A578D">
        <w:t>). Keeleliselt toimetas eelnõu Maaeluministeeriumi õigusosakonna peaspetsialist L</w:t>
      </w:r>
      <w:r w:rsidR="001B7069">
        <w:t>aura</w:t>
      </w:r>
      <w:r w:rsidRPr="003E4798">
        <w:t xml:space="preserve"> </w:t>
      </w:r>
      <w:r w:rsidR="001B7069">
        <w:t>Ojava</w:t>
      </w:r>
      <w:r w:rsidRPr="002A578D">
        <w:t xml:space="preserve"> (625 6</w:t>
      </w:r>
      <w:r w:rsidR="001B7069">
        <w:t>523</w:t>
      </w:r>
      <w:r w:rsidRPr="002A578D">
        <w:t xml:space="preserve">, </w:t>
      </w:r>
      <w:hyperlink r:id="rId10" w:history="1">
        <w:r w:rsidR="00015849" w:rsidRPr="00EF20F0">
          <w:rPr>
            <w:rStyle w:val="Hyperlink"/>
          </w:rPr>
          <w:t>laura.ojava@agri.ee</w:t>
        </w:r>
      </w:hyperlink>
      <w:r w:rsidRPr="0077449F">
        <w:t>).</w:t>
      </w:r>
    </w:p>
    <w:p w14:paraId="65603DFC" w14:textId="77777777" w:rsidR="0058025F" w:rsidRPr="002A578D" w:rsidRDefault="0058025F" w:rsidP="004356F0">
      <w:pPr>
        <w:jc w:val="both"/>
      </w:pPr>
    </w:p>
    <w:p w14:paraId="3836E987" w14:textId="77777777" w:rsidR="0058025F" w:rsidRPr="002A578D" w:rsidRDefault="0058025F" w:rsidP="004356F0">
      <w:pPr>
        <w:jc w:val="both"/>
        <w:rPr>
          <w:b/>
        </w:rPr>
      </w:pPr>
      <w:r w:rsidRPr="002A578D">
        <w:rPr>
          <w:b/>
        </w:rPr>
        <w:t>2. Eelnõu sisu ja võrdlev analüüs</w:t>
      </w:r>
    </w:p>
    <w:p w14:paraId="0C7E302D" w14:textId="4E68A5E4" w:rsidR="006115A2" w:rsidRDefault="006115A2" w:rsidP="006115A2">
      <w:pPr>
        <w:jc w:val="both"/>
      </w:pPr>
    </w:p>
    <w:p w14:paraId="72C9A5EE" w14:textId="00F8AA31" w:rsidR="00A9532A" w:rsidRDefault="00E620E3" w:rsidP="004356F0">
      <w:pPr>
        <w:jc w:val="both"/>
      </w:pPr>
      <w:r>
        <w:t>Määrust muudetakse järgmiselt</w:t>
      </w:r>
      <w:r w:rsidR="00214740">
        <w:t>.</w:t>
      </w:r>
    </w:p>
    <w:p w14:paraId="14B655FD" w14:textId="51B46257" w:rsidR="00E620E3" w:rsidRDefault="00E620E3" w:rsidP="004356F0">
      <w:pPr>
        <w:jc w:val="both"/>
      </w:pPr>
    </w:p>
    <w:p w14:paraId="102D88C3" w14:textId="01A871B2" w:rsidR="00840787" w:rsidRDefault="00840787" w:rsidP="004356F0">
      <w:pPr>
        <w:jc w:val="both"/>
      </w:pPr>
      <w:r w:rsidRPr="00840787">
        <w:rPr>
          <w:b/>
        </w:rPr>
        <w:t>Eelnõu punktis 1</w:t>
      </w:r>
      <w:r w:rsidRPr="00840787">
        <w:t xml:space="preserve"> täpsustatakse sõnastust, et oleks üheselt mõistetav, et liisingumakse on abikõlblik kulu ainult siis, kui asja omandiõigus läheb toetuse saajale üle viimase toetusosa väljamaksmiseks, kuid hiljemalt 2023. aasta 30. juunil.</w:t>
      </w:r>
    </w:p>
    <w:p w14:paraId="361E76BB" w14:textId="19A70BED" w:rsidR="00840787" w:rsidRDefault="00840787" w:rsidP="004356F0">
      <w:pPr>
        <w:jc w:val="both"/>
      </w:pPr>
    </w:p>
    <w:p w14:paraId="49060411" w14:textId="109F64C8" w:rsidR="007B3CA8" w:rsidRPr="004F3566" w:rsidRDefault="00840787" w:rsidP="007B3CA8">
      <w:pPr>
        <w:jc w:val="both"/>
      </w:pPr>
      <w:r w:rsidRPr="00840787">
        <w:rPr>
          <w:b/>
        </w:rPr>
        <w:t>Eelnõu punktides 2</w:t>
      </w:r>
      <w:r w:rsidR="00FA5B28">
        <w:rPr>
          <w:b/>
        </w:rPr>
        <w:t>,</w:t>
      </w:r>
      <w:r w:rsidRPr="00840787">
        <w:rPr>
          <w:b/>
        </w:rPr>
        <w:t xml:space="preserve"> 5 </w:t>
      </w:r>
      <w:r w:rsidR="008F1EF3">
        <w:rPr>
          <w:b/>
        </w:rPr>
        <w:t xml:space="preserve">ja 6 </w:t>
      </w:r>
      <w:r w:rsidR="008F1EF3" w:rsidRPr="00FA5B28">
        <w:t>muud</w:t>
      </w:r>
      <w:r w:rsidR="00FA5B28">
        <w:t>e</w:t>
      </w:r>
      <w:r w:rsidR="008F1EF3" w:rsidRPr="00FA5B28">
        <w:t>takse määruse</w:t>
      </w:r>
      <w:r w:rsidR="004F3566">
        <w:t xml:space="preserve"> sõnastust selliselt, et toetuse saaja peab </w:t>
      </w:r>
      <w:r w:rsidR="004F3566" w:rsidRPr="004F3566">
        <w:t xml:space="preserve">tegevuse ellu </w:t>
      </w:r>
      <w:r w:rsidR="004F3566">
        <w:t>viima ja võtma</w:t>
      </w:r>
      <w:r w:rsidR="004F3566" w:rsidRPr="004F3566">
        <w:t xml:space="preserve"> toetuse abil ostetud investeeringuobjekti sihtotstarbeliselt kasutusse </w:t>
      </w:r>
      <w:r w:rsidR="004F3566">
        <w:t xml:space="preserve">hiljemalt </w:t>
      </w:r>
      <w:r w:rsidR="004B0138">
        <w:t xml:space="preserve">2023. aasta 30. juunil </w:t>
      </w:r>
      <w:r w:rsidR="004F3566" w:rsidRPr="004F3566">
        <w:t xml:space="preserve">arvates PRIA poolt taotluse rahuldamise otsuse tegemisest ning tagab </w:t>
      </w:r>
      <w:r w:rsidR="004F3566" w:rsidRPr="004F3566">
        <w:lastRenderedPageBreak/>
        <w:t>tegevuse kestuse Euroopa Parlamendi ja nõukogu määruse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 artiklis 71 sätestatud ti</w:t>
      </w:r>
      <w:r w:rsidR="004B0138">
        <w:t>ngimustel, sealhulgas säilitab</w:t>
      </w:r>
      <w:r w:rsidR="004F3566" w:rsidRPr="004F3566">
        <w:t xml:space="preserve"> </w:t>
      </w:r>
      <w:r w:rsidR="004B0138">
        <w:t>investeeringuobjekti ja kasutab</w:t>
      </w:r>
      <w:r w:rsidR="004F3566" w:rsidRPr="004F3566">
        <w:t xml:space="preserve"> seda sihtotstarbeliselt kuni sihipär</w:t>
      </w:r>
      <w:r w:rsidR="004F3566">
        <w:t>ase kasutamise perioodi lõpuni.</w:t>
      </w:r>
      <w:r w:rsidR="007B3CA8" w:rsidRPr="007B3CA8">
        <w:t xml:space="preserve"> </w:t>
      </w:r>
      <w:r w:rsidR="004B0138">
        <w:t>Investeeringu tegemist tõendavaid dokumente saab toetuse saaja jätkuvalt esitada</w:t>
      </w:r>
      <w:r w:rsidR="007B3CA8">
        <w:t xml:space="preserve"> kui 20 osas. Kui ühe taotluse alusel taotletakse toetust nii liisingulepingu alusel kui ka muul viisil soetatava investeeringuobjekti kohta, siis peab toetuse saaja arvestama, et kokku ei või ta esitada üle 20 maksetaotluse.</w:t>
      </w:r>
    </w:p>
    <w:p w14:paraId="0A6CC86D" w14:textId="77777777" w:rsidR="007D2241" w:rsidRDefault="007D2241" w:rsidP="004356F0">
      <w:pPr>
        <w:jc w:val="both"/>
      </w:pPr>
    </w:p>
    <w:p w14:paraId="42D2C716" w14:textId="390AAD1B" w:rsidR="007D2241" w:rsidRDefault="007D2241" w:rsidP="004356F0">
      <w:pPr>
        <w:jc w:val="both"/>
      </w:pPr>
      <w:r>
        <w:t xml:space="preserve">Kui investeeringuobjekt ostetakse liisingulepingu alusel on liisingumakse </w:t>
      </w:r>
      <w:r w:rsidRPr="007D2241">
        <w:t>abikõlblik kulu ainult siis, kui asja omandiõigus läheb toetuse saajale üle viimase toetusosa väljamaksmiseks, kuid hiljemalt 2023. aasta 30. juunil</w:t>
      </w:r>
      <w:r>
        <w:t xml:space="preserve">. </w:t>
      </w:r>
      <w:r w:rsidR="00132F18">
        <w:t>See tähendab, et hiljemalt 2023. aasta 30. juuniks peab olema tehtud kõik liisingumaksed ja esitatud</w:t>
      </w:r>
      <w:r w:rsidR="002939B1">
        <w:t xml:space="preserve"> PRIA-le toetuse väljamaksmiseks maksetaotlused koos määruse § 21 lõikes 3 nimetatud dokumentidega.</w:t>
      </w:r>
    </w:p>
    <w:p w14:paraId="18A36461" w14:textId="77777777" w:rsidR="007B3CA8" w:rsidRDefault="007B3CA8" w:rsidP="004356F0">
      <w:pPr>
        <w:jc w:val="both"/>
      </w:pPr>
    </w:p>
    <w:p w14:paraId="74EB414F" w14:textId="4BF5C81D" w:rsidR="007B3CA8" w:rsidRDefault="007B3CA8" w:rsidP="004356F0">
      <w:pPr>
        <w:jc w:val="both"/>
      </w:pPr>
      <w:r w:rsidRPr="007B3CA8">
        <w:t>Vajadus pikendada toetatavate tegevuste elluviimise tähtaega</w:t>
      </w:r>
      <w:r>
        <w:t xml:space="preserve"> on tingitud peamiselt sellest, et u</w:t>
      </w:r>
      <w:r w:rsidRPr="007B3CA8">
        <w:t>ue tervi</w:t>
      </w:r>
      <w:r>
        <w:t>kliku toiduainetööstuse rajamine on pikaajaline protsess, mille</w:t>
      </w:r>
      <w:r w:rsidRPr="007B3CA8">
        <w:t xml:space="preserve"> puhul tuleb arvesse võtta ka seda, et mitmed tegevused ja tööd tehakse toiduainetööstuse rajamise viimases etapis</w:t>
      </w:r>
      <w:r w:rsidR="00D24FF2">
        <w:t xml:space="preserve">. Seega kui </w:t>
      </w:r>
      <w:r>
        <w:t xml:space="preserve">tööde </w:t>
      </w:r>
      <w:r w:rsidR="00D24FF2">
        <w:t xml:space="preserve">tegemise </w:t>
      </w:r>
      <w:r>
        <w:t xml:space="preserve">esimeses etapis ilmnevad viivitused, siis mõjutab see ka </w:t>
      </w:r>
      <w:r w:rsidR="00FA5B28">
        <w:t xml:space="preserve">järgmiste </w:t>
      </w:r>
      <w:r w:rsidR="00D24FF2">
        <w:t xml:space="preserve">etappide </w:t>
      </w:r>
      <w:r>
        <w:t>tegemist. Samuti jäi uue toiduainetööstuse rajamine ajale</w:t>
      </w:r>
      <w:r w:rsidR="00C70A3C">
        <w:t xml:space="preserve">, kui riigis kuulutati välja eriolukord, </w:t>
      </w:r>
      <w:r w:rsidR="00C70A3C" w:rsidRPr="00C70A3C">
        <w:t>mis kehtis 12. märtsist kuni 17. maini 2020. aastal, seoses COVID-19 haigust põhjustava koroonaviiruse leviku tõkestamisega.</w:t>
      </w:r>
      <w:r w:rsidR="00C70A3C">
        <w:t xml:space="preserve"> Näiteks oli </w:t>
      </w:r>
      <w:r w:rsidRPr="007B3CA8">
        <w:t>eriolukorrast tulenevate piirangute tõttu raskendatud masinate, seadmete ja ehitusmaterjalide t</w:t>
      </w:r>
      <w:r w:rsidR="00FA5B28">
        <w:t>arnimine ning mõningal määral oli</w:t>
      </w:r>
      <w:r w:rsidRPr="007B3CA8">
        <w:t xml:space="preserve"> katkestatud ka ehitustööde tegemine jms.</w:t>
      </w:r>
    </w:p>
    <w:p w14:paraId="4F146C09" w14:textId="03309767" w:rsidR="00C70A3C" w:rsidRDefault="00C70A3C" w:rsidP="004356F0">
      <w:pPr>
        <w:jc w:val="both"/>
      </w:pPr>
    </w:p>
    <w:p w14:paraId="7A2CEE88" w14:textId="5E722359" w:rsidR="00C70A3C" w:rsidRDefault="00C70A3C" w:rsidP="004356F0">
      <w:pPr>
        <w:jc w:val="both"/>
      </w:pPr>
      <w:r>
        <w:t xml:space="preserve">Võttes arvesse, et </w:t>
      </w:r>
      <w:r w:rsidRPr="00C70A3C">
        <w:t>uue ühistulise piimatööstuse rajamine on olulise tähtsusega piimandussektori jaoks, sest see aitab kaasa põllumajandustootjate positsiooni parandamisele tarneahelas, ühistegevuse soodustamisele töötlemise etapis ja tõstab ühistute ning muude ettevõtjate oma</w:t>
      </w:r>
      <w:r>
        <w:t xml:space="preserve">vahelise koostöö uuele tasemele, on oluline </w:t>
      </w:r>
      <w:r w:rsidRPr="00C70A3C">
        <w:t>võimaldada toetuse saajate</w:t>
      </w:r>
      <w:r w:rsidR="00D24FF2">
        <w:t>l kavandatud tegevused ellu viimine</w:t>
      </w:r>
      <w:r w:rsidRPr="00C70A3C">
        <w:t xml:space="preserve"> ja seeläbi saavutada tegevuste eesmärgid</w:t>
      </w:r>
      <w:r>
        <w:t>.</w:t>
      </w:r>
    </w:p>
    <w:p w14:paraId="4C27E4DB" w14:textId="7F2D4F0C" w:rsidR="00840787" w:rsidRDefault="00840787" w:rsidP="004356F0">
      <w:pPr>
        <w:jc w:val="both"/>
      </w:pPr>
    </w:p>
    <w:p w14:paraId="447388EA" w14:textId="01BE3FE9" w:rsidR="00492E3E" w:rsidRDefault="00E620E3" w:rsidP="004356F0">
      <w:pPr>
        <w:jc w:val="both"/>
      </w:pPr>
      <w:r w:rsidRPr="00E620E3">
        <w:rPr>
          <w:b/>
        </w:rPr>
        <w:t xml:space="preserve">Eelnõu punktis </w:t>
      </w:r>
      <w:r w:rsidR="00B67D74">
        <w:rPr>
          <w:b/>
        </w:rPr>
        <w:t>3</w:t>
      </w:r>
      <w:r w:rsidRPr="00E620E3">
        <w:t xml:space="preserve"> tun</w:t>
      </w:r>
      <w:r>
        <w:t>nistatakse kehtetuks määruse § 20 lõige 2</w:t>
      </w:r>
      <w:r w:rsidRPr="00E620E3">
        <w:t>, mille kohaselt</w:t>
      </w:r>
      <w:r>
        <w:t xml:space="preserve"> peab toetuse saajal h</w:t>
      </w:r>
      <w:r w:rsidRPr="00E620E3">
        <w:t>iljemalt kolmanda aasta lõpuks arvates PRIA poolt taotluse rahuldamise otsuse tegem</w:t>
      </w:r>
      <w:r>
        <w:t>isest olema</w:t>
      </w:r>
      <w:r w:rsidRPr="00E620E3">
        <w:t xml:space="preserve"> kava</w:t>
      </w:r>
      <w:r>
        <w:t xml:space="preserve">ndatavast investeeringust </w:t>
      </w:r>
      <w:r w:rsidRPr="00E620E3">
        <w:t>tehtud osa, mille maksumus</w:t>
      </w:r>
      <w:r>
        <w:t xml:space="preserve"> moodustab vähemalt 50%</w:t>
      </w:r>
      <w:r w:rsidRPr="00E620E3">
        <w:t xml:space="preserve"> kogu investee</w:t>
      </w:r>
      <w:r>
        <w:t>ringu abik</w:t>
      </w:r>
      <w:r w:rsidR="004444F1">
        <w:t xml:space="preserve">õlblikust maksumusest. </w:t>
      </w:r>
      <w:r w:rsidR="009B6CDC">
        <w:t>M</w:t>
      </w:r>
      <w:r w:rsidR="004444F1">
        <w:t>eetme 4.2.4 raames toetatakse</w:t>
      </w:r>
      <w:r w:rsidR="006B23BB">
        <w:t xml:space="preserve"> l</w:t>
      </w:r>
      <w:r w:rsidR="006B23BB" w:rsidRPr="006B23BB">
        <w:t xml:space="preserve">ehmatoorpiimast Euroopa Liidu toimimise lepingu I lisaga hõlmatud või hõlmamata toodete töötlemiseks või töötlemiseks ja turustamiseks vajaliku </w:t>
      </w:r>
      <w:r w:rsidR="006B23BB">
        <w:t>ehitise ehitamist ja seadme ostmist üksnes juhul, kui investeeringu tulemusel rajatakse uus ettevõte (ühistuline piimatööstus)</w:t>
      </w:r>
      <w:r w:rsidR="009B6CDC">
        <w:t xml:space="preserve">. Kuna uue </w:t>
      </w:r>
      <w:r w:rsidR="00744A1B">
        <w:t>piima</w:t>
      </w:r>
      <w:r w:rsidR="009B6CDC">
        <w:t xml:space="preserve">tööstuse rajamisega kaasnevad </w:t>
      </w:r>
      <w:r w:rsidR="005F5A3E">
        <w:t xml:space="preserve">ka </w:t>
      </w:r>
      <w:r w:rsidR="009B6CDC">
        <w:t>kulud</w:t>
      </w:r>
      <w:r w:rsidR="005F5A3E">
        <w:t>,</w:t>
      </w:r>
      <w:r w:rsidR="009B6CDC">
        <w:t xml:space="preserve"> n</w:t>
      </w:r>
      <w:r w:rsidR="005F5A3E">
        <w:t>äi</w:t>
      </w:r>
      <w:r w:rsidR="009B6CDC">
        <w:t>t</w:t>
      </w:r>
      <w:r w:rsidR="005F5A3E">
        <w:t>eks</w:t>
      </w:r>
      <w:r w:rsidR="009B6CDC">
        <w:t xml:space="preserve"> maa ostmise kulud, õigusteenuse kulud</w:t>
      </w:r>
      <w:r w:rsidR="00492E3E">
        <w:t xml:space="preserve"> ja ettevalmistavad tööd, mis selle meetme raames ei </w:t>
      </w:r>
      <w:r w:rsidR="00744A1B">
        <w:t xml:space="preserve">ole abikõlblikud, siis </w:t>
      </w:r>
      <w:r w:rsidR="00D15553">
        <w:t xml:space="preserve">paneb </w:t>
      </w:r>
      <w:r w:rsidR="00CE5C06">
        <w:t xml:space="preserve">nimetatud </w:t>
      </w:r>
      <w:r w:rsidR="00492E3E">
        <w:t>kohustus</w:t>
      </w:r>
      <w:r w:rsidR="00CE5C06">
        <w:t xml:space="preserve"> </w:t>
      </w:r>
      <w:r w:rsidR="009B6CDC">
        <w:t>toetuse saaja olukorda, kus seadmed</w:t>
      </w:r>
      <w:r w:rsidR="00DD5048">
        <w:t>, sh. nendega seotud teenuseid ja töid ning</w:t>
      </w:r>
      <w:r w:rsidR="009B6CDC">
        <w:t xml:space="preserve"> ehitustööd võetakse vastu</w:t>
      </w:r>
      <w:r w:rsidR="00D15553">
        <w:t>,</w:t>
      </w:r>
      <w:r w:rsidR="009B6CDC">
        <w:t xml:space="preserve"> </w:t>
      </w:r>
      <w:r w:rsidR="0089020B">
        <w:t xml:space="preserve">lähtudes </w:t>
      </w:r>
      <w:r w:rsidR="009B6CDC">
        <w:t>määr</w:t>
      </w:r>
      <w:r w:rsidR="00744A1B">
        <w:t>uses sätestatud kohustus</w:t>
      </w:r>
      <w:r w:rsidR="0089020B">
        <w:t>e</w:t>
      </w:r>
      <w:r w:rsidR="00744A1B">
        <w:t xml:space="preserve"> täit</w:t>
      </w:r>
      <w:r w:rsidR="0089020B">
        <w:t>misest</w:t>
      </w:r>
      <w:r w:rsidR="00D15553">
        <w:t>,</w:t>
      </w:r>
      <w:r w:rsidR="009B6CDC">
        <w:t xml:space="preserve"> mitte rajatava piimatöö</w:t>
      </w:r>
      <w:r w:rsidR="00DD5048">
        <w:t>stuse tehnilisest ja kvaliteedi</w:t>
      </w:r>
      <w:r w:rsidR="009B6CDC" w:rsidRPr="00DD5048">
        <w:t xml:space="preserve"> seisukohast.</w:t>
      </w:r>
      <w:r w:rsidR="00492E3E">
        <w:t xml:space="preserve"> See omakorda</w:t>
      </w:r>
      <w:r w:rsidR="00214740">
        <w:t xml:space="preserve"> võib tekitada olukorra, kus minnakse vastuollu</w:t>
      </w:r>
      <w:r w:rsidR="00492E3E">
        <w:t xml:space="preserve"> põhimõttega, et abikõlblik kulu on majanduslikult otstarbekas ja toetuse eesmärgi saavutamiseks v</w:t>
      </w:r>
      <w:r w:rsidR="00407778">
        <w:t>ajalik, sest kui seadmete ja ehitistega seotud töid võetakse vastu kiirustades</w:t>
      </w:r>
      <w:r w:rsidR="00492E3E">
        <w:t xml:space="preserve"> </w:t>
      </w:r>
      <w:r w:rsidR="00407778">
        <w:t xml:space="preserve">ning lähtudes sellest, et vähemalt 50% kogu investeeringu abikõlblikust maksumusest peab olema </w:t>
      </w:r>
      <w:r w:rsidR="001C4116">
        <w:t xml:space="preserve">2020. </w:t>
      </w:r>
      <w:r w:rsidR="00407778">
        <w:t xml:space="preserve">aasta lõpuks tehtud, siis tänu sellele võidakse teha kulutusi, mis ei ole </w:t>
      </w:r>
      <w:r w:rsidR="001C4116">
        <w:t xml:space="preserve">investeeringu </w:t>
      </w:r>
      <w:r w:rsidR="00407778">
        <w:t xml:space="preserve">eesmärgi saavutamiseks vajalikud või </w:t>
      </w:r>
      <w:r w:rsidR="001C4116">
        <w:t>tehakse kulutused, mis tavaliselt sarnases olukorras oleksid madalamad</w:t>
      </w:r>
      <w:r w:rsidR="00B420D2">
        <w:t xml:space="preserve">, et 50% kohustust täita. </w:t>
      </w:r>
      <w:r w:rsidR="00492E3E">
        <w:t>Samuti on toetuse saajal kohustus tagada kasutatava toetusraha ot</w:t>
      </w:r>
      <w:r w:rsidR="00214740">
        <w:t>starbeka</w:t>
      </w:r>
      <w:r w:rsidR="00D15553">
        <w:t>s</w:t>
      </w:r>
      <w:r w:rsidR="00214740">
        <w:t xml:space="preserve"> ja säästlik kasutami</w:t>
      </w:r>
      <w:r w:rsidR="00D15553">
        <w:t>n</w:t>
      </w:r>
      <w:r w:rsidR="00214740">
        <w:t>e</w:t>
      </w:r>
      <w:r w:rsidR="00492E3E">
        <w:t xml:space="preserve">. </w:t>
      </w:r>
      <w:r w:rsidR="003D577F">
        <w:t xml:space="preserve">Uue tervikliku toiduainetööstuse rajamise puhul tuleb arvesse võtta ka seda, et mitmed tegevused ja tööd tehakse </w:t>
      </w:r>
      <w:r w:rsidR="00B420D2">
        <w:t xml:space="preserve">toiduainetööstuse rajamise </w:t>
      </w:r>
      <w:r w:rsidR="003D577F">
        <w:t xml:space="preserve">viimases etapis, näiteks </w:t>
      </w:r>
      <w:r w:rsidR="00973FD7">
        <w:t xml:space="preserve">toimub </w:t>
      </w:r>
      <w:r w:rsidR="003D577F">
        <w:lastRenderedPageBreak/>
        <w:t>6</w:t>
      </w:r>
      <w:r w:rsidR="006F2347">
        <w:t>–9</w:t>
      </w:r>
      <w:r w:rsidR="003D577F">
        <w:t xml:space="preserve"> kuu</w:t>
      </w:r>
      <w:r w:rsidR="00744A1B">
        <w:t xml:space="preserve">d enne toiduainetööstuse </w:t>
      </w:r>
      <w:r w:rsidR="000D2053">
        <w:t>lõplik</w:t>
      </w:r>
      <w:r w:rsidR="00D15553">
        <w:t>k</w:t>
      </w:r>
      <w:r w:rsidR="000D2053">
        <w:t xml:space="preserve">u </w:t>
      </w:r>
      <w:r w:rsidR="00744A1B">
        <w:t>valmimist</w:t>
      </w:r>
      <w:r w:rsidR="003D577F">
        <w:t xml:space="preserve"> erinevate liinide tarkvarade installeerimine </w:t>
      </w:r>
      <w:r w:rsidR="000D2053">
        <w:t>ja</w:t>
      </w:r>
      <w:r w:rsidR="003D577F">
        <w:t xml:space="preserve"> alles päras</w:t>
      </w:r>
      <w:r w:rsidR="00713BAA">
        <w:t>t</w:t>
      </w:r>
      <w:r w:rsidR="003D577F">
        <w:t xml:space="preserve"> seda, kui kõik installatsioonitööd on lõppenud</w:t>
      </w:r>
      <w:r w:rsidR="00713BAA">
        <w:t>,</w:t>
      </w:r>
      <w:r w:rsidR="003D577F">
        <w:t xml:space="preserve"> algab kasutuselevõtu ehk testimise periood. Seega</w:t>
      </w:r>
      <w:r w:rsidR="00713BAA">
        <w:t xml:space="preserve"> on tegemist </w:t>
      </w:r>
      <w:r w:rsidR="00973FD7">
        <w:t xml:space="preserve">üsna </w:t>
      </w:r>
      <w:r w:rsidR="0045772E">
        <w:t>pika</w:t>
      </w:r>
      <w:r w:rsidR="00973FD7">
        <w:t>ajalise</w:t>
      </w:r>
      <w:r w:rsidR="00713BAA">
        <w:t xml:space="preserve"> protsessiga, mille</w:t>
      </w:r>
      <w:r w:rsidR="000D2053">
        <w:t xml:space="preserve"> jooksul tuleb läbi teha kõik ettenähtud</w:t>
      </w:r>
      <w:r w:rsidR="00713BAA">
        <w:t xml:space="preserve"> etapid</w:t>
      </w:r>
      <w:r w:rsidR="00D15553">
        <w:t>,</w:t>
      </w:r>
      <w:r w:rsidR="00713BAA">
        <w:t xml:space="preserve"> ja</w:t>
      </w:r>
      <w:r w:rsidR="003D577F">
        <w:t xml:space="preserve"> kui panna toetuse saaja olukorda, kus tööd tuleb vastu võtta enne installeerimise ja testimise perioodi, et määruses sätestatud </w:t>
      </w:r>
      <w:r w:rsidR="00DD5048">
        <w:t>kohustust</w:t>
      </w:r>
      <w:r w:rsidR="003D577F">
        <w:t xml:space="preserve"> (</w:t>
      </w:r>
      <w:r w:rsidR="00744A1B">
        <w:t>tehtud</w:t>
      </w:r>
      <w:r w:rsidR="00D15553">
        <w:t xml:space="preserve"> peab olema</w:t>
      </w:r>
      <w:r w:rsidR="00744A1B">
        <w:t xml:space="preserve"> osa, mille maksumus moodustab </w:t>
      </w:r>
      <w:r w:rsidR="003D577F">
        <w:t>50%</w:t>
      </w:r>
      <w:r w:rsidR="00AB1D47">
        <w:t xml:space="preserve"> </w:t>
      </w:r>
      <w:r w:rsidR="00AB1D47" w:rsidRPr="00AB1D47">
        <w:t>kogu investeeringu abikõlblikust maksumusest</w:t>
      </w:r>
      <w:r w:rsidR="00AB1D47">
        <w:t>) täi</w:t>
      </w:r>
      <w:r w:rsidR="003D2162">
        <w:t>ta</w:t>
      </w:r>
      <w:r w:rsidR="00AB1D47">
        <w:t xml:space="preserve">, on suur risk, et toetuse saaja on sunnitud töid vastu võtma </w:t>
      </w:r>
      <w:r w:rsidR="003D2162">
        <w:t>enne seda</w:t>
      </w:r>
      <w:r w:rsidR="00D15553">
        <w:t>,</w:t>
      </w:r>
      <w:r w:rsidR="003D2162">
        <w:t xml:space="preserve"> kui ta on</w:t>
      </w:r>
      <w:r w:rsidR="00D15553" w:rsidRPr="00D15553">
        <w:t xml:space="preserve"> </w:t>
      </w:r>
      <w:r w:rsidR="00D15553">
        <w:t>nende kvaliteedis</w:t>
      </w:r>
      <w:r w:rsidR="003D2162">
        <w:t xml:space="preserve"> </w:t>
      </w:r>
      <w:r w:rsidR="00AB1D47">
        <w:t>lõplikult veendunud.</w:t>
      </w:r>
    </w:p>
    <w:p w14:paraId="4CDEA13A" w14:textId="77777777" w:rsidR="00492E3E" w:rsidRDefault="00492E3E" w:rsidP="004356F0">
      <w:pPr>
        <w:jc w:val="both"/>
      </w:pPr>
    </w:p>
    <w:p w14:paraId="55490BEE" w14:textId="5BFC0DF2" w:rsidR="00E620E3" w:rsidRDefault="00C02450" w:rsidP="004356F0">
      <w:pPr>
        <w:jc w:val="both"/>
      </w:pPr>
      <w:r>
        <w:t>Eeltoodust lähtudes</w:t>
      </w:r>
      <w:r w:rsidR="00AB1D47">
        <w:t xml:space="preserve"> muudetakse määrust selliselt, et </w:t>
      </w:r>
      <w:r w:rsidR="005A48AF">
        <w:t xml:space="preserve">hiljemalt </w:t>
      </w:r>
      <w:r w:rsidR="00AB1D47">
        <w:t>kolmanda aasta lõpuks</w:t>
      </w:r>
      <w:r w:rsidR="00492E3E">
        <w:t xml:space="preserve"> </w:t>
      </w:r>
      <w:r w:rsidR="00AB1D47" w:rsidRPr="00AB1D47">
        <w:t xml:space="preserve">arvates PRIA poolt taotluse rahuldamise otsuse tegemisest </w:t>
      </w:r>
      <w:r w:rsidR="00AB1D47">
        <w:t xml:space="preserve">ehk 2020. aasta lõpuks peab toetuse saaja esitama </w:t>
      </w:r>
      <w:r w:rsidR="00492E3E">
        <w:t>tegevusaruande</w:t>
      </w:r>
      <w:r w:rsidR="00AB1D47">
        <w:t>, millest peab selguma</w:t>
      </w:r>
      <w:r w:rsidR="00744A1B">
        <w:t>,</w:t>
      </w:r>
      <w:r w:rsidR="00AB1D47">
        <w:t xml:space="preserve"> millises etapi</w:t>
      </w:r>
      <w:r w:rsidR="00214740">
        <w:t>s on uue piimatööstuse rajamine. Lisaks peab aruanne kajastama ka</w:t>
      </w:r>
      <w:r>
        <w:t xml:space="preserve"> seda</w:t>
      </w:r>
      <w:r w:rsidR="005A48AF">
        <w:t>,</w:t>
      </w:r>
      <w:r w:rsidR="00214740">
        <w:t xml:space="preserve"> </w:t>
      </w:r>
      <w:r w:rsidR="00AB1D47">
        <w:t>millised</w:t>
      </w:r>
      <w:r w:rsidR="00FA5B28">
        <w:t xml:space="preserve"> siduvad kohustused on toetuse saaja võtnud ehk andmed toetatava tegevuse elluviimiseks sõlmitud lepingu eesmärgi,</w:t>
      </w:r>
      <w:r w:rsidR="005870F8">
        <w:t xml:space="preserve"> lepingu sõlmimise kuupäeva, lepingupoolte ja lepingu numbri kohta</w:t>
      </w:r>
      <w:r w:rsidR="00AB1D47">
        <w:t>, millised tegevused on ellu</w:t>
      </w:r>
      <w:r w:rsidR="0032748B">
        <w:t xml:space="preserve"> </w:t>
      </w:r>
      <w:r w:rsidR="00AB1D47">
        <w:t>viidud ja milline on</w:t>
      </w:r>
      <w:r w:rsidR="00214740">
        <w:t xml:space="preserve"> tegevuste elluviimise</w:t>
      </w:r>
      <w:r w:rsidR="00AB1D47">
        <w:t xml:space="preserve"> edasine ajakava</w:t>
      </w:r>
      <w:r w:rsidR="00582B50">
        <w:t xml:space="preserve">. </w:t>
      </w:r>
      <w:r>
        <w:t>T</w:t>
      </w:r>
      <w:r w:rsidR="001B7445">
        <w:t xml:space="preserve">egevusaruande sisunõudeid </w:t>
      </w:r>
      <w:r>
        <w:t xml:space="preserve">on täpsemalt </w:t>
      </w:r>
      <w:r w:rsidR="005870F8">
        <w:t>selgitatud eelnõu punkti 4</w:t>
      </w:r>
      <w:r w:rsidR="001B7445" w:rsidRPr="001B7445">
        <w:t xml:space="preserve"> selgitava osa juures.</w:t>
      </w:r>
      <w:r w:rsidR="001B7445">
        <w:t xml:space="preserve"> </w:t>
      </w:r>
    </w:p>
    <w:p w14:paraId="0C23271C" w14:textId="7C4CDFF2" w:rsidR="00FB1BF4" w:rsidRDefault="00FB1BF4" w:rsidP="004356F0">
      <w:pPr>
        <w:jc w:val="both"/>
      </w:pPr>
    </w:p>
    <w:p w14:paraId="53DE6E58" w14:textId="6F7FBFAD" w:rsidR="00C02450" w:rsidRDefault="00FB1BF4" w:rsidP="004356F0">
      <w:pPr>
        <w:jc w:val="both"/>
      </w:pPr>
      <w:r w:rsidRPr="00FB1BF4">
        <w:rPr>
          <w:b/>
        </w:rPr>
        <w:t>E</w:t>
      </w:r>
      <w:r w:rsidR="00EC18A3">
        <w:rPr>
          <w:b/>
        </w:rPr>
        <w:t>elnõu punktis</w:t>
      </w:r>
      <w:r w:rsidR="00B67D74">
        <w:rPr>
          <w:b/>
        </w:rPr>
        <w:t xml:space="preserve"> 4</w:t>
      </w:r>
      <w:r w:rsidR="00EC18A3">
        <w:rPr>
          <w:b/>
        </w:rPr>
        <w:t xml:space="preserve"> </w:t>
      </w:r>
      <w:r w:rsidR="00EC18A3">
        <w:t>täiendatakse määruse § 20 lõikega 2</w:t>
      </w:r>
      <w:r w:rsidR="00EC18A3" w:rsidRPr="00EC18A3">
        <w:rPr>
          <w:vertAlign w:val="superscript"/>
        </w:rPr>
        <w:t>1</w:t>
      </w:r>
      <w:r w:rsidR="00EC18A3">
        <w:t>,</w:t>
      </w:r>
      <w:r w:rsidR="00EC18A3" w:rsidRPr="00EC18A3">
        <w:t xml:space="preserve"> </w:t>
      </w:r>
      <w:r w:rsidR="00EC18A3">
        <w:t xml:space="preserve">sätestades, et toetuse saaja peab hiljemalt kolmanda aasta lõpuks arvates PRIA poolt taotluse rahuldamise otsuse tegemist ehk </w:t>
      </w:r>
      <w:r w:rsidR="001A1A35">
        <w:t xml:space="preserve">hiljemalt </w:t>
      </w:r>
      <w:r w:rsidR="00EC18A3">
        <w:t>2020. aasta lõpuks esitama PRIA-le tegevusarua</w:t>
      </w:r>
      <w:r w:rsidR="00827AB7">
        <w:t xml:space="preserve">nde, millest peab selguma, millises etapis on </w:t>
      </w:r>
      <w:r w:rsidR="00B375C0">
        <w:t>ühistulise piimatööstuse rajamine</w:t>
      </w:r>
      <w:r w:rsidR="008E239E">
        <w:t xml:space="preserve">. Tegevusaruanne koosneb viiest osast: </w:t>
      </w:r>
    </w:p>
    <w:p w14:paraId="37AB22B3" w14:textId="4F125D17" w:rsidR="00C02450" w:rsidRDefault="008E239E" w:rsidP="004356F0">
      <w:pPr>
        <w:jc w:val="both"/>
      </w:pPr>
      <w:r>
        <w:t>1)</w:t>
      </w:r>
      <w:r w:rsidR="00A33B27" w:rsidRPr="00A33B27">
        <w:t xml:space="preserve"> </w:t>
      </w:r>
      <w:r w:rsidR="00B375C0" w:rsidRPr="00B375C0">
        <w:t xml:space="preserve">ülevaade uue ettevõtte rajamise hetkeseisust, lähtudes </w:t>
      </w:r>
      <w:r w:rsidR="00C70A3C">
        <w:t>määruse §-s 16 nimetatud lisadokumentides</w:t>
      </w:r>
      <w:r w:rsidR="00B375C0" w:rsidRPr="00B375C0">
        <w:t xml:space="preserve"> kirjeldatust</w:t>
      </w:r>
      <w:r>
        <w:t xml:space="preserve"> ‒ lü</w:t>
      </w:r>
      <w:r w:rsidR="00A33B27">
        <w:t>hikokkuvõte</w:t>
      </w:r>
      <w:r w:rsidR="0061793B">
        <w:t xml:space="preserve"> sellest</w:t>
      </w:r>
      <w:r>
        <w:t>, millise</w:t>
      </w:r>
      <w:r w:rsidR="00A33B27">
        <w:t>id tegevusi</w:t>
      </w:r>
      <w:r>
        <w:t xml:space="preserve"> on siiani </w:t>
      </w:r>
      <w:r w:rsidR="001A1A35">
        <w:t>ellu viidud</w:t>
      </w:r>
      <w:r w:rsidR="00C02450">
        <w:t>,</w:t>
      </w:r>
      <w:r w:rsidR="00A33B27">
        <w:t xml:space="preserve"> </w:t>
      </w:r>
      <w:r w:rsidR="0061793B">
        <w:t xml:space="preserve">ehk antakse ülevaade </w:t>
      </w:r>
      <w:r w:rsidR="00A33B27">
        <w:t xml:space="preserve">kõikidest </w:t>
      </w:r>
      <w:r w:rsidR="0061793B">
        <w:t xml:space="preserve">elluviidud </w:t>
      </w:r>
      <w:r w:rsidR="00A33B27">
        <w:t>tegevustest</w:t>
      </w:r>
      <w:r w:rsidR="00C70A3C">
        <w:t xml:space="preserve"> lähtudes sellest</w:t>
      </w:r>
      <w:r w:rsidR="00A33B27">
        <w:t>,</w:t>
      </w:r>
      <w:r w:rsidR="003A491F">
        <w:t xml:space="preserve"> mis </w:t>
      </w:r>
      <w:r w:rsidR="00C70A3C">
        <w:t xml:space="preserve">määruse §-16 nimetatud lisadokumentides </w:t>
      </w:r>
      <w:r w:rsidR="003A491F">
        <w:t xml:space="preserve">toetatavate tegevustena välja toodi. Need tegevused, mille elluviimise osas tuleb esitada ülevaade on PRIA välja toonud ka toetuse saajale 19. märtsil 2019. saadetud kirjas nr. </w:t>
      </w:r>
      <w:r w:rsidR="003A491F" w:rsidRPr="003A491F">
        <w:t>13-29.2/18/339-24</w:t>
      </w:r>
      <w:r w:rsidR="003A491F">
        <w:t>. Nimetatud kirjas on toetuse saaja poolt esitatud dokumentide alusel toodud välja üheksa tegevust (nt. projekteerimine, omanikujärelevalve) ja nende tegevuste abikõlblikud maksumused. Samuti tuleb ülevaate</w:t>
      </w:r>
      <w:r w:rsidR="00D24FF2">
        <w:t>s</w:t>
      </w:r>
      <w:r w:rsidR="003A491F">
        <w:t xml:space="preserve"> välja tuua, </w:t>
      </w:r>
      <w:r>
        <w:t>millises etapis on</w:t>
      </w:r>
      <w:r w:rsidR="003A491F">
        <w:t xml:space="preserve"> nende üheksa</w:t>
      </w:r>
      <w:r w:rsidR="00D24FF2">
        <w:t xml:space="preserve"> tegevus</w:t>
      </w:r>
      <w:r w:rsidR="00A33B27">
        <w:t>e elluviimine ning kirjeldus selle kohta, kas kõik</w:t>
      </w:r>
      <w:r w:rsidR="00E87B50">
        <w:t xml:space="preserve"> on läinud nii</w:t>
      </w:r>
      <w:r w:rsidR="00C02450">
        <w:t>,</w:t>
      </w:r>
      <w:r w:rsidR="003A491F">
        <w:t xml:space="preserve"> nagu toetuse saaja PRIA-le esitatud lisadokumentides märkis</w:t>
      </w:r>
      <w:r w:rsidR="00DA5368">
        <w:t xml:space="preserve">. </w:t>
      </w:r>
      <w:r w:rsidR="005913CC">
        <w:t>Juhul, kui kõik ei o</w:t>
      </w:r>
      <w:r w:rsidR="002F230A">
        <w:t>le</w:t>
      </w:r>
      <w:r w:rsidR="003A491F">
        <w:t xml:space="preserve"> läinud nii nagu esitatud dokumentides</w:t>
      </w:r>
      <w:r w:rsidR="002F230A">
        <w:t xml:space="preserve"> märgiti</w:t>
      </w:r>
      <w:r w:rsidR="005913CC">
        <w:t>, siis peab toetuse saaja põhjendama erinevus</w:t>
      </w:r>
      <w:r w:rsidR="003A491F">
        <w:t>t tegeliku tulemuse ja lisadokumentides</w:t>
      </w:r>
      <w:r w:rsidR="005913CC">
        <w:t xml:space="preserve"> kirjeldatu vahel</w:t>
      </w:r>
      <w:r>
        <w:t xml:space="preserve">; </w:t>
      </w:r>
    </w:p>
    <w:p w14:paraId="44DFA39E" w14:textId="41590E7A" w:rsidR="00C02450" w:rsidRDefault="008E239E" w:rsidP="004356F0">
      <w:pPr>
        <w:jc w:val="both"/>
      </w:pPr>
      <w:r>
        <w:t xml:space="preserve">2) </w:t>
      </w:r>
      <w:r w:rsidR="00E87B50" w:rsidRPr="00E87B50">
        <w:t>andmed toetatava tegevuse elluviimiseks sõlmitud lepingu</w:t>
      </w:r>
      <w:r w:rsidR="005913CC">
        <w:t xml:space="preserve"> eesmärgi, lepingu sõlmimise kuupäeva, lepingupoolte ja lepingu numbri</w:t>
      </w:r>
      <w:r w:rsidR="00E87B50" w:rsidRPr="00E87B50">
        <w:t xml:space="preserve"> kohta </w:t>
      </w:r>
      <w:r>
        <w:t xml:space="preserve">‒ </w:t>
      </w:r>
      <w:r w:rsidR="00E87B50">
        <w:t xml:space="preserve">toetuse saaja toob välja toetatava tegevuse </w:t>
      </w:r>
      <w:r w:rsidR="0080090E">
        <w:t>ehk</w:t>
      </w:r>
      <w:r w:rsidR="00E87B50">
        <w:t xml:space="preserve"> koguinvesteeringuga seotud sõlmitud </w:t>
      </w:r>
      <w:r>
        <w:t xml:space="preserve">lepingu </w:t>
      </w:r>
      <w:r w:rsidR="00E87B50">
        <w:t>eesmärgi</w:t>
      </w:r>
      <w:r w:rsidR="00D316B5">
        <w:t xml:space="preserve">, </w:t>
      </w:r>
      <w:r w:rsidR="00E87B50">
        <w:t xml:space="preserve">lepingu </w:t>
      </w:r>
      <w:r>
        <w:t>sõlmimise kuupäev</w:t>
      </w:r>
      <w:r w:rsidR="00E87B50">
        <w:t>a</w:t>
      </w:r>
      <w:r>
        <w:t>, lepingu</w:t>
      </w:r>
      <w:r w:rsidR="0080090E">
        <w:t>poolte andme</w:t>
      </w:r>
      <w:r>
        <w:t>d</w:t>
      </w:r>
      <w:r w:rsidR="00E87B50">
        <w:t xml:space="preserve"> ja lepingu numbri</w:t>
      </w:r>
      <w:r>
        <w:t xml:space="preserve">. Näiteks </w:t>
      </w:r>
      <w:r w:rsidR="00E87B50">
        <w:t xml:space="preserve">kui </w:t>
      </w:r>
      <w:r>
        <w:t xml:space="preserve">toetuse saaja </w:t>
      </w:r>
      <w:r w:rsidR="00E87B50">
        <w:t xml:space="preserve">on </w:t>
      </w:r>
      <w:r>
        <w:t>sõlminud laenu</w:t>
      </w:r>
      <w:r w:rsidR="00E87B50">
        <w:t xml:space="preserve">lepingu omaosaluse katmiseks, siis sel juhul </w:t>
      </w:r>
      <w:r w:rsidR="00C02450">
        <w:t>tuleb märkida</w:t>
      </w:r>
      <w:r w:rsidR="00E87B50">
        <w:t>, et</w:t>
      </w:r>
      <w:r>
        <w:t xml:space="preserve"> laenuleping </w:t>
      </w:r>
      <w:r w:rsidR="00E87B50">
        <w:t xml:space="preserve">sõlmiti </w:t>
      </w:r>
      <w:r>
        <w:t>omaosaluse katmiseks</w:t>
      </w:r>
      <w:r w:rsidR="00E87B50">
        <w:t xml:space="preserve"> (lepingu sõlmimise eesmärk), kellega leping sõlmiti ja</w:t>
      </w:r>
      <w:r>
        <w:t xml:space="preserve"> </w:t>
      </w:r>
      <w:r w:rsidR="00E87B50">
        <w:t xml:space="preserve">mis kuupäeval ning </w:t>
      </w:r>
      <w:r w:rsidR="006F2347">
        <w:t xml:space="preserve">mis on </w:t>
      </w:r>
      <w:r w:rsidR="00E87B50">
        <w:t>lepingu numb</w:t>
      </w:r>
      <w:r w:rsidR="006F2347">
        <w:t>e</w:t>
      </w:r>
      <w:r w:rsidR="00E87B50">
        <w:t>r</w:t>
      </w:r>
      <w:r w:rsidR="005913CC">
        <w:t>. Neid andmed on otseselt seotud toetatava tegevuse ellu viimisega ja annavad ülevaate, millises etapis on uue ettevõtte rajamine. Näiteks, kui kolmanda aasta lõpuks ei ole sõlmitud ühtegi lepingut (seadmete soetamine ja ta</w:t>
      </w:r>
      <w:r w:rsidR="002F230A">
        <w:t xml:space="preserve">rnimine, ehitustööde tegemiseks või </w:t>
      </w:r>
      <w:r w:rsidR="005913CC">
        <w:t>laenuleping</w:t>
      </w:r>
      <w:r w:rsidR="002F230A">
        <w:t xml:space="preserve"> omaosaluse katmiseks</w:t>
      </w:r>
      <w:r w:rsidR="005913CC">
        <w:t>), siis on see esmaseks ohumärgiks, et uue ettevõtte rajamine ei lähe nii nagu plaanitud või tegevuste elluviimine viibib või neid ei plaanitagi ellu viia. Seega nimetatud andmete välja toomine on üheks võimaluseks, kuidas saada teada, millises etapis on uue ettevõtte rajamine ning kas toetuse saaja on võtnud siduvaid kohustusi, et tagada toetatava tegevuse täielik elluviimine</w:t>
      </w:r>
      <w:r w:rsidR="00D316B5">
        <w:t xml:space="preserve">; </w:t>
      </w:r>
    </w:p>
    <w:p w14:paraId="5D77226D" w14:textId="600A2C80" w:rsidR="00524881" w:rsidRDefault="00D316B5" w:rsidP="004356F0">
      <w:pPr>
        <w:jc w:val="both"/>
      </w:pPr>
      <w:r>
        <w:t xml:space="preserve">3) </w:t>
      </w:r>
      <w:r w:rsidR="003A491F">
        <w:t>prognoos toetatava tegevuse elluviimist</w:t>
      </w:r>
      <w:r w:rsidR="00130A32">
        <w:t xml:space="preserve"> tõendavate dokumentide esitamise kohta</w:t>
      </w:r>
      <w:r>
        <w:t xml:space="preserve"> ‒ </w:t>
      </w:r>
      <w:r w:rsidR="00130A32" w:rsidRPr="00801FE8">
        <w:t>toetuse saaja toob välja</w:t>
      </w:r>
      <w:r w:rsidR="00801FE8">
        <w:t xml:space="preserve">, millal ja mis kulude osas esitatakse PRIA-le maksetaotlus. </w:t>
      </w:r>
      <w:r w:rsidR="003A7B22">
        <w:t xml:space="preserve">Määruse § 21 lõikes 2 on sätestatud, millised andmed esitatakse maksetaotluses. Seega prognoosis peab toetuse saaja välja tooma järgmised andmed: maksetaotluse esitamise eeldatav kuupäev, teave tegevuse maksumuse ja selle osalise või täieliku tasumise kohta, teave tegevuse elluviimist tõendavate dokumentide kohta (nt. kas esitatakse arve-saateleht, töö üleandmis-vastuvõtmis tõendav </w:t>
      </w:r>
      <w:r w:rsidR="003A7B22">
        <w:lastRenderedPageBreak/>
        <w:t xml:space="preserve">dokument vms) ja andmed investeeringuobjekti kogumaksumuse muutmise kohta. </w:t>
      </w:r>
      <w:r w:rsidR="00801FE8">
        <w:t>Nimetatud prognoosi esitamine on üheks võimaluseks, kuidas saada teada, millises järjekorras ning mis aja jooksul on kavandatud toetatavate tegevuste elluviimine</w:t>
      </w:r>
      <w:r w:rsidR="004D4270">
        <w:t xml:space="preserve"> ja kas on</w:t>
      </w:r>
      <w:r w:rsidR="00416E21">
        <w:t xml:space="preserve"> võimalik tähtaja jooksul </w:t>
      </w:r>
      <w:r w:rsidR="004D4270">
        <w:t>uus piimatööstus rajada</w:t>
      </w:r>
      <w:r w:rsidR="00801FE8">
        <w:t xml:space="preserve">. Samuti </w:t>
      </w:r>
      <w:r w:rsidR="006D0EAF">
        <w:t>ligikaudne ajakava võimaldab PRIA-l paremini planeerida töökoormust ja tänu sellele efektiivsemalt menetlustoiminguid teha.</w:t>
      </w:r>
    </w:p>
    <w:p w14:paraId="42F8FC14" w14:textId="2C3A5024" w:rsidR="00524881" w:rsidRDefault="00D316B5" w:rsidP="004356F0">
      <w:pPr>
        <w:jc w:val="both"/>
      </w:pPr>
      <w:r>
        <w:t xml:space="preserve">4) </w:t>
      </w:r>
      <w:r w:rsidR="006D4E08" w:rsidRPr="006D4E08">
        <w:t>toetatava tegevuse elluviimise senine ja edasine ajakava</w:t>
      </w:r>
      <w:r w:rsidR="003A67E6" w:rsidRPr="003A67E6">
        <w:t xml:space="preserve"> </w:t>
      </w:r>
      <w:r>
        <w:t>‒ t</w:t>
      </w:r>
      <w:r w:rsidR="003A67E6">
        <w:t>oetuse saaja kirjeldab</w:t>
      </w:r>
      <w:r>
        <w:t>, millised tegevused on ellu</w:t>
      </w:r>
      <w:r w:rsidR="008B0CDA">
        <w:t xml:space="preserve"> </w:t>
      </w:r>
      <w:r>
        <w:t>viidud ja</w:t>
      </w:r>
      <w:r w:rsidR="003A67E6">
        <w:t xml:space="preserve"> mis ajal</w:t>
      </w:r>
      <w:r>
        <w:t>. S</w:t>
      </w:r>
      <w:r w:rsidR="003A67E6">
        <w:t>amuti peab toetuse saaja välja tooma</w:t>
      </w:r>
      <w:r>
        <w:t xml:space="preserve"> ka need tegevused, mis</w:t>
      </w:r>
      <w:r w:rsidR="00DA5368">
        <w:t xml:space="preserve"> on pooleli või mille elluviimisega ei ole alustatud</w:t>
      </w:r>
      <w:r w:rsidR="003A67E6">
        <w:t xml:space="preserve">. Selliste tegevuste puhul, mis </w:t>
      </w:r>
      <w:r w:rsidR="008B0CDA">
        <w:t xml:space="preserve">ei </w:t>
      </w:r>
      <w:r w:rsidR="003A67E6">
        <w:t>ole täielikult ellu</w:t>
      </w:r>
      <w:r w:rsidR="008B0CDA">
        <w:t xml:space="preserve"> </w:t>
      </w:r>
      <w:r w:rsidR="003A67E6">
        <w:t>viidud</w:t>
      </w:r>
      <w:r w:rsidR="00524881">
        <w:t>,</w:t>
      </w:r>
      <w:r w:rsidR="003A67E6">
        <w:t xml:space="preserve"> märgib toetuse saaja </w:t>
      </w:r>
      <w:r>
        <w:t>nende tegevus</w:t>
      </w:r>
      <w:r w:rsidR="003A67E6">
        <w:t xml:space="preserve">te </w:t>
      </w:r>
      <w:r w:rsidR="006D4E08">
        <w:t>orienteeriva</w:t>
      </w:r>
      <w:r w:rsidR="00524881">
        <w:t xml:space="preserve"> </w:t>
      </w:r>
      <w:r w:rsidR="003A67E6">
        <w:t>elluviimise aja</w:t>
      </w:r>
      <w:r w:rsidR="00DA5368">
        <w:t xml:space="preserve">; </w:t>
      </w:r>
    </w:p>
    <w:p w14:paraId="2C384997" w14:textId="0BE235EB" w:rsidR="00FB1BF4" w:rsidRPr="00EC18A3" w:rsidRDefault="00D316B5" w:rsidP="004356F0">
      <w:pPr>
        <w:jc w:val="both"/>
      </w:pPr>
      <w:r>
        <w:t>5)</w:t>
      </w:r>
      <w:r w:rsidR="003A67E6" w:rsidRPr="003A67E6">
        <w:t xml:space="preserve"> </w:t>
      </w:r>
      <w:r w:rsidR="006F2347">
        <w:t>hinnang toetatava tegevuse eesmärgi saavutamise tõenäosuse kohta</w:t>
      </w:r>
      <w:r w:rsidR="006F2347" w:rsidRPr="00D60FE2" w:rsidDel="006F2347">
        <w:t xml:space="preserve"> </w:t>
      </w:r>
      <w:r w:rsidR="00744A1B">
        <w:t>‒ s</w:t>
      </w:r>
      <w:r w:rsidR="00DA5368">
        <w:t xml:space="preserve">elle põllumajandustoodete töötlemise ja turustamise investeeringutoetuse </w:t>
      </w:r>
      <w:r w:rsidR="00524881">
        <w:t xml:space="preserve">eesmärk </w:t>
      </w:r>
      <w:r w:rsidR="00DA5368">
        <w:t xml:space="preserve">on ühistegevuse soodustamine töötlemise etapis, et selle kaudu </w:t>
      </w:r>
      <w:r w:rsidR="00524881">
        <w:t xml:space="preserve">viia </w:t>
      </w:r>
      <w:r w:rsidR="00DA5368">
        <w:t>ühistute ja muude ettevõtjate koostöö järgmisele tasandile. Eesmärgi saavutami</w:t>
      </w:r>
      <w:r w:rsidR="003A67E6">
        <w:t>seks on määruses sätestatud, et</w:t>
      </w:r>
      <w:r w:rsidR="00DA5368">
        <w:t xml:space="preserve"> tegevuste elluviimist toetatakse ainult siis, kui investeeringu tulemusel rajatakse uus ettevõte. Nimetatud tegevusaruande punktis kirjeldab toetuse saaja, millised </w:t>
      </w:r>
      <w:r w:rsidR="00D5163C">
        <w:t xml:space="preserve">toetatava tegevuse </w:t>
      </w:r>
      <w:r w:rsidR="00DA5368">
        <w:t>eesmärgid on saavutatud ja milline on toetuse saaja enda hinnang määruses sätestatud eesmärkide saavutamise</w:t>
      </w:r>
      <w:r w:rsidR="00D5163C">
        <w:t xml:space="preserve"> tõenäosuse</w:t>
      </w:r>
      <w:r w:rsidR="00DA5368">
        <w:t>l</w:t>
      </w:r>
      <w:r w:rsidR="00D5163C">
        <w:t>e</w:t>
      </w:r>
      <w:r w:rsidR="00DA5368">
        <w:t>.</w:t>
      </w:r>
    </w:p>
    <w:p w14:paraId="378202A9" w14:textId="4BA3D9AC" w:rsidR="00FB1BF4" w:rsidRDefault="00FB1BF4" w:rsidP="004356F0">
      <w:pPr>
        <w:jc w:val="both"/>
      </w:pPr>
    </w:p>
    <w:p w14:paraId="67E27180" w14:textId="51BC9F58" w:rsidR="00FB1BF4" w:rsidRDefault="005203F4" w:rsidP="004356F0">
      <w:pPr>
        <w:jc w:val="both"/>
      </w:pPr>
      <w:r>
        <w:rPr>
          <w:b/>
        </w:rPr>
        <w:t>Eelnõu punktis 7</w:t>
      </w:r>
      <w:r w:rsidR="00EC18A3">
        <w:rPr>
          <w:b/>
        </w:rPr>
        <w:t xml:space="preserve"> </w:t>
      </w:r>
      <w:r w:rsidR="00EC18A3">
        <w:t>täiendatakse määruse § 20 lõiget 4 punktiga 5</w:t>
      </w:r>
      <w:r w:rsidR="00EC18A3" w:rsidRPr="00EC18A3">
        <w:rPr>
          <w:vertAlign w:val="superscript"/>
        </w:rPr>
        <w:t>1</w:t>
      </w:r>
      <w:r w:rsidR="00EC18A3">
        <w:t xml:space="preserve">, sätestades, et toetuse saaja peab esitama alates </w:t>
      </w:r>
      <w:r w:rsidR="00D27F25">
        <w:t>neljandast aasta</w:t>
      </w:r>
      <w:r w:rsidR="00524881">
        <w:t>s</w:t>
      </w:r>
      <w:r w:rsidR="00D27F25">
        <w:t xml:space="preserve">t arvates PRIA poolt taotluse rahuldamise otsuse tegemisest </w:t>
      </w:r>
      <w:r w:rsidR="00524881">
        <w:t xml:space="preserve">iga kuue kuu tagant </w:t>
      </w:r>
      <w:r w:rsidR="00D27F25">
        <w:t xml:space="preserve">ülevaate uue ettevõtte rajamise </w:t>
      </w:r>
      <w:r w:rsidR="007C758B">
        <w:t xml:space="preserve">hetkeseisust ja seda kuni tegevuse täieliku elluviimiseni. See tähendab, et </w:t>
      </w:r>
      <w:r w:rsidR="006F72AF">
        <w:t xml:space="preserve">hiljemalt </w:t>
      </w:r>
      <w:r w:rsidR="007C758B">
        <w:t>2020. aasta lõpus esitab toetuse saaja tegevusarua</w:t>
      </w:r>
      <w:r>
        <w:t>nde, mis vastab eelnõu punktis 4</w:t>
      </w:r>
      <w:r w:rsidR="007C758B">
        <w:t xml:space="preserve"> sätestatud nõuetele</w:t>
      </w:r>
      <w:r w:rsidR="00524881">
        <w:t>,</w:t>
      </w:r>
      <w:r w:rsidR="007C758B">
        <w:t xml:space="preserve"> ning 2021. aasta esimese poolaasta lõpuks esitab toetuse saaja vabas vormis ülevaate uue ettevõtte rajamise hetkeseisust</w:t>
      </w:r>
      <w:r w:rsidR="00130A32">
        <w:t xml:space="preserve">, lähtudes PRIA-le varasemalt </w:t>
      </w:r>
      <w:r w:rsidR="00D24FF2">
        <w:t>e</w:t>
      </w:r>
      <w:r w:rsidR="00130A32">
        <w:t xml:space="preserve">sitatud </w:t>
      </w:r>
      <w:r w:rsidR="00130A32" w:rsidRPr="00130A32">
        <w:t>määruse §-s 16 nimeta</w:t>
      </w:r>
      <w:r w:rsidR="00130A32">
        <w:t>tud lisadokumentide</w:t>
      </w:r>
      <w:r w:rsidR="00554659">
        <w:t>s toodud tegevustest</w:t>
      </w:r>
      <w:r w:rsidR="007C758B">
        <w:t xml:space="preserve">. </w:t>
      </w:r>
      <w:r w:rsidR="00130A32">
        <w:t xml:space="preserve">Seega ülevaates peaks toetuse saaja keskenduma üheksale tegevusele, mida on selgitatud </w:t>
      </w:r>
      <w:r w:rsidR="00126235" w:rsidRPr="00126235">
        <w:t>eelnõu punkt</w:t>
      </w:r>
      <w:r w:rsidR="00126235">
        <w:t>i 4 selgitava osa juures.</w:t>
      </w:r>
      <w:r w:rsidR="00130A32">
        <w:t xml:space="preserve"> </w:t>
      </w:r>
      <w:r w:rsidR="007C758B">
        <w:t xml:space="preserve">Ülevaatest peab selguma, milliseid tegevusi ja </w:t>
      </w:r>
      <w:r w:rsidR="006F72AF">
        <w:t xml:space="preserve">nendega kaasnevaid </w:t>
      </w:r>
      <w:r w:rsidR="007C758B">
        <w:t xml:space="preserve">kulutusi on tehtud eelneva kuue kuu </w:t>
      </w:r>
      <w:r w:rsidR="00DA5368" w:rsidRPr="001D74D5">
        <w:t>jooksul, et t</w:t>
      </w:r>
      <w:r w:rsidR="001D74D5" w:rsidRPr="001D74D5">
        <w:t>aotluses</w:t>
      </w:r>
      <w:r w:rsidR="001D74D5">
        <w:t xml:space="preserve"> märgitud tegevused saaks täielikult ellu</w:t>
      </w:r>
      <w:r w:rsidR="00524881">
        <w:t xml:space="preserve"> </w:t>
      </w:r>
      <w:r w:rsidR="001D74D5">
        <w:t>viidud.</w:t>
      </w:r>
      <w:r w:rsidR="007C758B">
        <w:t xml:space="preserve"> Samuti peab ülevaatest selguma, millised on edasised tegevused, mida </w:t>
      </w:r>
      <w:r w:rsidR="006F72AF">
        <w:t>kavanda</w:t>
      </w:r>
      <w:r w:rsidR="007C758B">
        <w:t xml:space="preserve">takse </w:t>
      </w:r>
      <w:r w:rsidR="006F72AF">
        <w:t>ellu viia</w:t>
      </w:r>
      <w:r w:rsidR="00524881">
        <w:t>,</w:t>
      </w:r>
      <w:r w:rsidR="007C758B">
        <w:t xml:space="preserve"> ja toetuse saaja hinnang kavandatavate tegevus</w:t>
      </w:r>
      <w:r w:rsidR="00D13437">
        <w:t>t</w:t>
      </w:r>
      <w:r w:rsidR="007C758B">
        <w:t xml:space="preserve">e tähtaegse elluviimise kohta. Nimetatud </w:t>
      </w:r>
      <w:r w:rsidR="00DD5048">
        <w:t>kohustus</w:t>
      </w:r>
      <w:r w:rsidR="007C758B">
        <w:t xml:space="preserve"> on sätestatud tulenevalt sellest, et PRIA-l oleks ülevaade tegevuste elluviimisest ja toetuse sihipärasest kasutamisest. </w:t>
      </w:r>
      <w:r w:rsidR="001D74D5">
        <w:t>Kuna selle toetuse suurus on võrreldes teiste investeeringutoetustega kordades suurem, siis on oluline, et toetuse saaja hoiaks PRI</w:t>
      </w:r>
      <w:r w:rsidR="005B73A6">
        <w:t>A-t toetuse kasutamisega kursis ja teavitaks PRIA-t esimesel võimalusel, kui peaks esinema asjaolusid, mis takistavad toetatavate tegevuste elluviimist.</w:t>
      </w:r>
    </w:p>
    <w:p w14:paraId="02FD483A" w14:textId="420466CC" w:rsidR="00B420D2" w:rsidRDefault="00B420D2" w:rsidP="004356F0">
      <w:pPr>
        <w:jc w:val="both"/>
      </w:pPr>
    </w:p>
    <w:p w14:paraId="3DE86FC2" w14:textId="410A2E19" w:rsidR="00B420D2" w:rsidRPr="00ED74CE" w:rsidRDefault="00B420D2" w:rsidP="004356F0">
      <w:pPr>
        <w:jc w:val="both"/>
      </w:pPr>
      <w:r>
        <w:t>Lisaks täiendatakse</w:t>
      </w:r>
      <w:r w:rsidR="00ED74CE">
        <w:t xml:space="preserve"> määruse § 20 lõiget 4 punktiga 5</w:t>
      </w:r>
      <w:r w:rsidR="00ED74CE" w:rsidRPr="00ED74CE">
        <w:rPr>
          <w:vertAlign w:val="superscript"/>
        </w:rPr>
        <w:t>2</w:t>
      </w:r>
      <w:r w:rsidR="005203F4">
        <w:t xml:space="preserve">, sätestades, et toetuse saaja </w:t>
      </w:r>
      <w:r w:rsidR="00ED74CE">
        <w:t xml:space="preserve">peab viivitamata teavitama PRIA-t </w:t>
      </w:r>
      <w:r w:rsidR="00ED74CE" w:rsidRPr="00ED74CE">
        <w:t>taotluses esitatud või toetatava tegevusega seotud andmete muutumisest või tegevuse elluviimist takistavast asjaolust.</w:t>
      </w:r>
      <w:r w:rsidR="00C23BD6">
        <w:t xml:space="preserve"> </w:t>
      </w:r>
      <w:r w:rsidR="00C23BD6" w:rsidRPr="00C23BD6">
        <w:t>Nimetatud kohustuse sätestamisega tagatakse, et toetusraha kasutatakse sihipäraselt. ELÜPS-i § 111 lõikes 1 on sätestatud, et kui pärast toetuse väljamaksmist selgub, et toetusraha on eeskirja eiramise või hooletuse tõttu makstud alusetult, sealhulgas kui seda ei ole kasutatud sihipäraselt, nõutakse toetusraha toetuse saajalt, sealhulgas valikumenetluse korras valitud toetuse saajalt, otseselt või täielikult tagasi Euroopa Parlamendi ja nõukogu määruses (EL) nr 1303/2013, Euroopa Parlamendi ja nõukogu määruses (EL) nr 1306/2013 ühise põllumajanduspoliitika rahastamise, haldamise ja seire kohta ning millega tunnistatakse kehtetuks nõukogu määrused (EMÜ) nr 352/78, (EÜ) nr 165/94, (EÜ) nr 2799/98, (EÜ) nr 814/2000, (EÜ) nr 1290/2005 ja (EÜ) nr 485/2008 (ELT L 347, 20.12.2013, lk 549–607) ning teistes Euroopa Liidu asjakohastes määrustes sätestatud alustel ja tähtaegadel.</w:t>
      </w:r>
    </w:p>
    <w:p w14:paraId="34B3634B" w14:textId="77777777" w:rsidR="00E620E3" w:rsidRPr="002A578D" w:rsidRDefault="00E620E3" w:rsidP="004356F0">
      <w:pPr>
        <w:jc w:val="both"/>
      </w:pPr>
    </w:p>
    <w:p w14:paraId="3CEF7E84" w14:textId="77777777" w:rsidR="00A9532A" w:rsidRPr="002A578D" w:rsidRDefault="00A9532A" w:rsidP="004356F0">
      <w:pPr>
        <w:jc w:val="both"/>
        <w:rPr>
          <w:b/>
        </w:rPr>
      </w:pPr>
      <w:r w:rsidRPr="002A578D">
        <w:rPr>
          <w:b/>
        </w:rPr>
        <w:t>3. Eelnõu vastavus Euroopa Liidu õigusele</w:t>
      </w:r>
    </w:p>
    <w:p w14:paraId="4AD56CE3" w14:textId="77777777" w:rsidR="00A9532A" w:rsidRPr="002A578D" w:rsidRDefault="00A9532A" w:rsidP="004356F0">
      <w:pPr>
        <w:jc w:val="both"/>
        <w:rPr>
          <w:b/>
        </w:rPr>
      </w:pPr>
    </w:p>
    <w:p w14:paraId="78BF1F9F" w14:textId="100F0CAC" w:rsidR="00A9532A" w:rsidRPr="002A578D" w:rsidRDefault="00A9532A" w:rsidP="004356F0">
      <w:pPr>
        <w:jc w:val="both"/>
      </w:pPr>
      <w:r w:rsidRPr="002A578D">
        <w:t>Eelnõu väljatöötamisel võeti aluseks Euroopa Parlamendi ja nõukogu määrus (E</w:t>
      </w:r>
      <w:r w:rsidR="002938FA">
        <w:t>L</w:t>
      </w:r>
      <w:r w:rsidRPr="002A578D">
        <w:t>) nr 1305/2013</w:t>
      </w:r>
      <w:r w:rsidR="000B7705" w:rsidRPr="002A578D">
        <w:t xml:space="preserve"> Euroopa Maaelu Arengu Põllumajandusfondist (EAFRD) antavate maaelu arengu toetuste kohta ja millega tunnistatakse kehtetuks nõukogu määrus (EÜ) nr 1698/2005 (ELT L 347, 20.12.2013, </w:t>
      </w:r>
      <w:r w:rsidR="000B7705" w:rsidRPr="002A578D">
        <w:lastRenderedPageBreak/>
        <w:t>lk 487–548)</w:t>
      </w:r>
      <w:r w:rsidR="00711E34">
        <w:t xml:space="preserve">, </w:t>
      </w:r>
      <w:r w:rsidR="00F55DBD" w:rsidRPr="00F55DBD">
        <w:t>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sidR="00711E34">
        <w:t xml:space="preserve"> ning </w:t>
      </w:r>
      <w:r w:rsidR="00711E34" w:rsidRPr="00711E34">
        <w:t>Euroop</w:t>
      </w:r>
      <w:r w:rsidR="00711E34">
        <w:t>a Parlamendi ja nõukogu määrus</w:t>
      </w:r>
      <w:r w:rsidR="00711E34" w:rsidRPr="00711E34">
        <w:t xml:space="preserve"> (EL) nr 1306/2013 ühise põllumajanduspoliitika rahastamise, haldamise ja seire kohta ning millega tunnistatakse kehtetuks nõukogu määrused (EMÜ) nr 352/78, (EÜ) nr 165/94, (EÜ) nr 2799/98, (EÜ) nr 814/2000, (EÜ) nr 1290/2005 ja (EÜ) nr 485/2008 (ELT L 347, 20.12.2013, lk 549–607)</w:t>
      </w:r>
      <w:r w:rsidR="00E02E3A" w:rsidRPr="002A578D">
        <w:t>.</w:t>
      </w:r>
    </w:p>
    <w:p w14:paraId="572D0AD3" w14:textId="77777777" w:rsidR="00B92D7F" w:rsidRPr="002A578D" w:rsidRDefault="00B92D7F" w:rsidP="004356F0">
      <w:pPr>
        <w:jc w:val="both"/>
      </w:pPr>
    </w:p>
    <w:p w14:paraId="7605286D" w14:textId="0AD9F81B" w:rsidR="00A9532A" w:rsidRPr="004A7F60" w:rsidRDefault="00A9532A" w:rsidP="004356F0">
      <w:pPr>
        <w:jc w:val="both"/>
      </w:pPr>
      <w:r w:rsidRPr="002A578D">
        <w:t xml:space="preserve">Eelnõus nimetatud Euroopa Liidu õigusaktid </w:t>
      </w:r>
      <w:r w:rsidR="000B7705" w:rsidRPr="002A578D">
        <w:t xml:space="preserve">on kättesaadavad Euroopa Liidu Teataja </w:t>
      </w:r>
      <w:r w:rsidR="000B7705" w:rsidRPr="004A7F60">
        <w:t xml:space="preserve">veebilehel </w:t>
      </w:r>
      <w:hyperlink r:id="rId11" w:history="1">
        <w:r w:rsidR="00AD4069" w:rsidRPr="008C388F">
          <w:rPr>
            <w:rStyle w:val="Hyperlink"/>
          </w:rPr>
          <w:t>http://eur-lex.europa.eu</w:t>
        </w:r>
      </w:hyperlink>
      <w:r w:rsidR="000B7705" w:rsidRPr="004A7F60">
        <w:t>.</w:t>
      </w:r>
    </w:p>
    <w:p w14:paraId="3EECCD64" w14:textId="77777777" w:rsidR="00AD4069" w:rsidRPr="00E6392A" w:rsidRDefault="00AD4069" w:rsidP="004356F0">
      <w:pPr>
        <w:jc w:val="both"/>
      </w:pPr>
    </w:p>
    <w:p w14:paraId="1D904F78" w14:textId="77777777" w:rsidR="00A9532A" w:rsidRPr="005601D6" w:rsidRDefault="00A9532A" w:rsidP="004356F0">
      <w:pPr>
        <w:jc w:val="both"/>
        <w:rPr>
          <w:b/>
        </w:rPr>
      </w:pPr>
      <w:r w:rsidRPr="005601D6">
        <w:rPr>
          <w:b/>
        </w:rPr>
        <w:t>4. Määruse mõjud</w:t>
      </w:r>
    </w:p>
    <w:p w14:paraId="444575C7" w14:textId="77777777" w:rsidR="00A9532A" w:rsidRPr="002A578D" w:rsidRDefault="00A9532A" w:rsidP="004356F0">
      <w:pPr>
        <w:jc w:val="both"/>
        <w:rPr>
          <w:b/>
        </w:rPr>
      </w:pPr>
    </w:p>
    <w:p w14:paraId="6D22C1B9" w14:textId="79B41346" w:rsidR="004B3D0E" w:rsidRDefault="004B3D0E" w:rsidP="007C758B">
      <w:pPr>
        <w:jc w:val="both"/>
      </w:pPr>
      <w:r>
        <w:t xml:space="preserve">Määrusega </w:t>
      </w:r>
      <w:r w:rsidR="00CE05AC">
        <w:t>ase</w:t>
      </w:r>
      <w:r w:rsidR="003A67E6">
        <w:t>ndatakse toetuse saaja kohustus</w:t>
      </w:r>
      <w:r w:rsidR="00CE05AC">
        <w:t xml:space="preserve"> tõendada kolmanda aasta lõpuks arvates </w:t>
      </w:r>
      <w:r w:rsidR="00CE05AC" w:rsidRPr="00CE05AC">
        <w:t>PRIA poolt taotluse rahuldamise otsuse tegemises</w:t>
      </w:r>
      <w:r w:rsidR="00CE05AC">
        <w:t>t</w:t>
      </w:r>
      <w:r w:rsidR="003A67E6">
        <w:t>, et</w:t>
      </w:r>
      <w:r w:rsidR="00CE05AC">
        <w:t xml:space="preserve"> kavandatavast investeeringust</w:t>
      </w:r>
      <w:r w:rsidR="003A67E6">
        <w:t xml:space="preserve"> on</w:t>
      </w:r>
      <w:r w:rsidR="00CE05AC">
        <w:t xml:space="preserve"> tehtud osa, mille maksumus moodustab 50% kogu investeerin</w:t>
      </w:r>
      <w:r w:rsidR="000563B5">
        <w:t>g</w:t>
      </w:r>
      <w:r w:rsidR="00CE05AC">
        <w:t>u maksumusest</w:t>
      </w:r>
      <w:r w:rsidR="00615FB6">
        <w:t>,</w:t>
      </w:r>
      <w:r w:rsidR="00CE05AC">
        <w:t xml:space="preserve"> </w:t>
      </w:r>
      <w:r w:rsidR="000563B5">
        <w:t>kohustus</w:t>
      </w:r>
      <w:r w:rsidR="00CE05AC">
        <w:t xml:space="preserve">ega esitada tegevusaruanne, mis võimaldab </w:t>
      </w:r>
      <w:r w:rsidR="00ED74CE">
        <w:t xml:space="preserve">saada ülevaate </w:t>
      </w:r>
      <w:r w:rsidR="00A002D8" w:rsidRPr="00A002D8">
        <w:t>sellest, kuidas toetusraha on kasutatud ning millises etapis on uue ettevõtte rajamine ja kui suur on tõenäosus toetatava tegevuse eesmärgi saavutamise kohta</w:t>
      </w:r>
      <w:r w:rsidR="00CE05AC" w:rsidRPr="00A002D8">
        <w:t>. Nimetatud</w:t>
      </w:r>
      <w:r w:rsidR="00CE05AC">
        <w:t xml:space="preserve"> muudatusel on toetuse saajale positiivne mõju, kuna võimaldab toetatava tegevus</w:t>
      </w:r>
      <w:r w:rsidR="005F31C4">
        <w:t xml:space="preserve">e </w:t>
      </w:r>
      <w:r w:rsidR="00804389">
        <w:t xml:space="preserve">raames tehtavaid </w:t>
      </w:r>
      <w:r w:rsidR="00CE05AC">
        <w:t>töid vastu võt</w:t>
      </w:r>
      <w:r w:rsidR="00804389">
        <w:t>t</w:t>
      </w:r>
      <w:r w:rsidR="00CE05AC">
        <w:t xml:space="preserve">a parimast </w:t>
      </w:r>
      <w:r w:rsidR="00BB1C8D">
        <w:t xml:space="preserve">võimalikust </w:t>
      </w:r>
      <w:r w:rsidR="00DD5048">
        <w:t>tehnilisest ja kvaliteedi</w:t>
      </w:r>
      <w:r w:rsidR="00CE05AC" w:rsidRPr="00DD5048">
        <w:t xml:space="preserve"> seisukohast</w:t>
      </w:r>
      <w:r w:rsidR="00CE05AC">
        <w:t xml:space="preserve"> lähtuvalt </w:t>
      </w:r>
      <w:r w:rsidR="00BB1C8D">
        <w:t>ning</w:t>
      </w:r>
      <w:r w:rsidR="00CE05AC">
        <w:t xml:space="preserve"> seeläbi saavutada tegevuse eesmärgid. </w:t>
      </w:r>
    </w:p>
    <w:p w14:paraId="1459EF3D" w14:textId="77777777" w:rsidR="004B3D0E" w:rsidRDefault="004B3D0E" w:rsidP="004B3D0E">
      <w:pPr>
        <w:jc w:val="both"/>
      </w:pPr>
    </w:p>
    <w:p w14:paraId="58D14F57" w14:textId="19671FB8" w:rsidR="004B3D0E" w:rsidRDefault="004B3D0E" w:rsidP="004B3D0E">
      <w:pPr>
        <w:jc w:val="both"/>
      </w:pPr>
      <w:r>
        <w:t>Muudatus toob kaasa PRIA töökoormuse kasvu, sest</w:t>
      </w:r>
      <w:r w:rsidR="0057722F">
        <w:t xml:space="preserve"> toetuse saajale sätestatakse </w:t>
      </w:r>
      <w:r w:rsidR="00E405FA">
        <w:t>lisa</w:t>
      </w:r>
      <w:r w:rsidR="00804389">
        <w:t>kohustus</w:t>
      </w:r>
      <w:r w:rsidR="00615FB6" w:rsidRPr="00804389">
        <w:t>ed</w:t>
      </w:r>
      <w:r w:rsidR="00615FB6">
        <w:t>, mille kohasel</w:t>
      </w:r>
      <w:r w:rsidR="00E405FA">
        <w:t>t</w:t>
      </w:r>
      <w:r w:rsidR="00615FB6">
        <w:t xml:space="preserve"> peab toetuse saaja</w:t>
      </w:r>
      <w:r w:rsidR="0057722F">
        <w:t xml:space="preserve"> esitama </w:t>
      </w:r>
      <w:r w:rsidR="001D74D5">
        <w:t xml:space="preserve">tegevusaruande ja alates </w:t>
      </w:r>
      <w:r w:rsidR="001D74D5" w:rsidRPr="001D74D5">
        <w:t>neljandast aasta</w:t>
      </w:r>
      <w:r w:rsidR="00E405FA">
        <w:t>s</w:t>
      </w:r>
      <w:r w:rsidR="001D74D5" w:rsidRPr="001D74D5">
        <w:t xml:space="preserve">t arvates PRIA poolt taotluse rahuldamise otsuse tegemisest </w:t>
      </w:r>
      <w:r w:rsidR="00E405FA" w:rsidRPr="001D74D5">
        <w:t xml:space="preserve">iga kuue kuu tagant </w:t>
      </w:r>
      <w:r w:rsidR="001D74D5">
        <w:t>lühi</w:t>
      </w:r>
      <w:r w:rsidR="001D74D5" w:rsidRPr="001D74D5">
        <w:t>ülevaate uue ettevõtte rajamise hetkeseisust</w:t>
      </w:r>
      <w:r w:rsidR="001D74D5">
        <w:t>.</w:t>
      </w:r>
      <w:r w:rsidR="001D74D5" w:rsidRPr="001D74D5">
        <w:t xml:space="preserve"> </w:t>
      </w:r>
      <w:r>
        <w:t>Samas, kuna m</w:t>
      </w:r>
      <w:r w:rsidR="003D1BC4">
        <w:t xml:space="preserve">uudatus puudutab </w:t>
      </w:r>
      <w:r w:rsidR="0057722F">
        <w:t xml:space="preserve">vaid ühte </w:t>
      </w:r>
      <w:r w:rsidR="008C3E02">
        <w:t>toetuse saajat</w:t>
      </w:r>
      <w:r>
        <w:t xml:space="preserve"> ning menetlustoimingud, mi</w:t>
      </w:r>
      <w:r w:rsidR="0057722F">
        <w:t>da</w:t>
      </w:r>
      <w:r>
        <w:t xml:space="preserve"> teha, ei ole oma iseloomult uued, siis võib hinnata muudatuse mõju pigem väheoluliseks. Muudatusega väheneb tõenäoliselt võimalike sanktsioneerimiste</w:t>
      </w:r>
      <w:r w:rsidR="0057722F">
        <w:t xml:space="preserve"> arv</w:t>
      </w:r>
      <w:r w:rsidR="00E405FA">
        <w:t xml:space="preserve"> –</w:t>
      </w:r>
      <w:r w:rsidR="0057722F">
        <w:t xml:space="preserve"> kuna toetuse saaja peab tegema</w:t>
      </w:r>
      <w:r w:rsidR="001D74D5">
        <w:t xml:space="preserve"> järjepidevalt </w:t>
      </w:r>
      <w:r w:rsidR="0057722F">
        <w:t>ülevaate</w:t>
      </w:r>
      <w:r w:rsidR="001D74D5">
        <w:t>id</w:t>
      </w:r>
      <w:r w:rsidR="0057722F">
        <w:t xml:space="preserve"> kavandatud tegevuste ellu</w:t>
      </w:r>
      <w:r w:rsidR="001D74D5">
        <w:t>viimisest</w:t>
      </w:r>
      <w:r w:rsidR="0057722F">
        <w:t xml:space="preserve">, siis tõenäosus, et kavandatav investeering viiakse täielikult ellu ja </w:t>
      </w:r>
      <w:r>
        <w:t xml:space="preserve">investeeringuobjekt </w:t>
      </w:r>
      <w:r w:rsidR="0057722F">
        <w:t xml:space="preserve">võetakse </w:t>
      </w:r>
      <w:r>
        <w:t>sihtotstarbeliselt kasutusse</w:t>
      </w:r>
      <w:r w:rsidR="00E405FA">
        <w:t>,</w:t>
      </w:r>
      <w:r w:rsidR="0057722F">
        <w:t xml:space="preserve"> on suur</w:t>
      </w:r>
      <w:r>
        <w:t>.</w:t>
      </w:r>
    </w:p>
    <w:p w14:paraId="70DD904C" w14:textId="77777777" w:rsidR="004B3D0E" w:rsidRDefault="004B3D0E" w:rsidP="004B3D0E">
      <w:pPr>
        <w:jc w:val="both"/>
      </w:pPr>
    </w:p>
    <w:p w14:paraId="548888B8" w14:textId="47AB45EF" w:rsidR="004B3D0E" w:rsidRDefault="00554659" w:rsidP="004B3D0E">
      <w:pPr>
        <w:jc w:val="both"/>
      </w:pPr>
      <w:r w:rsidRPr="00554659">
        <w:t>Toetatava tegevuse elluviimise tähtaja pikendamine võimaldab saavutada toetuse eesmärgid ning tagada sellega toetusraha parema ja täielikuma ärakasutamise.</w:t>
      </w:r>
    </w:p>
    <w:p w14:paraId="6D0B4F64" w14:textId="77777777" w:rsidR="00554659" w:rsidRPr="002A578D" w:rsidRDefault="00554659" w:rsidP="004B3D0E">
      <w:pPr>
        <w:jc w:val="both"/>
      </w:pPr>
    </w:p>
    <w:p w14:paraId="70629B47" w14:textId="77777777" w:rsidR="00F03158" w:rsidRPr="002A578D" w:rsidRDefault="00F03158" w:rsidP="004356F0">
      <w:pPr>
        <w:jc w:val="both"/>
        <w:rPr>
          <w:b/>
        </w:rPr>
      </w:pPr>
      <w:r w:rsidRPr="002A578D">
        <w:rPr>
          <w:b/>
        </w:rPr>
        <w:t>5. Määruse rakendamisega seotud tegevused, vajalikud kulud ja määruse rakendamise eeldatavad tulud</w:t>
      </w:r>
    </w:p>
    <w:p w14:paraId="11EBDF84" w14:textId="77777777" w:rsidR="00F03158" w:rsidRPr="002A578D" w:rsidRDefault="00F03158" w:rsidP="004356F0">
      <w:pPr>
        <w:jc w:val="both"/>
        <w:rPr>
          <w:b/>
        </w:rPr>
      </w:pPr>
    </w:p>
    <w:p w14:paraId="19EE465F" w14:textId="646E0EDF" w:rsidR="006663BF" w:rsidRDefault="00931738" w:rsidP="004356F0">
      <w:pPr>
        <w:jc w:val="both"/>
      </w:pPr>
      <w:r>
        <w:t>P</w:t>
      </w:r>
      <w:r w:rsidR="006663BF" w:rsidRPr="006663BF">
        <w:t>õll</w:t>
      </w:r>
      <w:r w:rsidR="00467E3B">
        <w:t>umajandustoodete töötlemise ja</w:t>
      </w:r>
      <w:r w:rsidR="006663BF" w:rsidRPr="006663BF">
        <w:t xml:space="preserve"> </w:t>
      </w:r>
      <w:r>
        <w:t>turustamise investeeringutoetus</w:t>
      </w:r>
      <w:r w:rsidR="00E405FA">
        <w:t>t</w:t>
      </w:r>
      <w:r>
        <w:t xml:space="preserve"> suurprojektide elluviimiseks</w:t>
      </w:r>
      <w:r w:rsidR="006663BF" w:rsidRPr="006663BF">
        <w:t xml:space="preserve"> rahastatakse 85% ulatuses </w:t>
      </w:r>
      <w:r w:rsidR="00E16532" w:rsidRPr="00E16532">
        <w:t xml:space="preserve">Euroopa Maaelu Arengu </w:t>
      </w:r>
      <w:r w:rsidR="00E16532" w:rsidRPr="00804389">
        <w:t>Põllumajandusfondist (</w:t>
      </w:r>
      <w:r w:rsidR="00E16532" w:rsidRPr="00C579C9">
        <w:t>EAFRD</w:t>
      </w:r>
      <w:r w:rsidR="00E16532" w:rsidRPr="00804389">
        <w:t>)</w:t>
      </w:r>
      <w:r w:rsidR="006663BF" w:rsidRPr="00804389">
        <w:t xml:space="preserve"> ning</w:t>
      </w:r>
      <w:r w:rsidR="006663BF" w:rsidRPr="006663BF">
        <w:t xml:space="preserve"> 15% ulatuses Eesti riigi riigieelarvest. Arengukava meetme 4 „Investeeringud materiaalsesse varasse“ tegevuse liigi „Investeeringud põllumajandustoodete töötlemiseks ja turustamiseks“ raames antavate toetuste kogueelarve programmiperioodil on 67 miljonit eurot, millest Euroopa Liidu osa on 56,95 miljonit eurot ja Eesti riigi kaasfinantseering 10,05 miljonit eurot. Toetuse eelarve programmiperioodil kokku on </w:t>
      </w:r>
      <w:r>
        <w:t>15</w:t>
      </w:r>
      <w:r w:rsidR="00467E3B">
        <w:t xml:space="preserve"> </w:t>
      </w:r>
      <w:r w:rsidR="006663BF" w:rsidRPr="006663BF">
        <w:t>miljonit eurot.</w:t>
      </w:r>
    </w:p>
    <w:p w14:paraId="298EEF50" w14:textId="77777777" w:rsidR="006663BF" w:rsidRDefault="006663BF" w:rsidP="004356F0">
      <w:pPr>
        <w:jc w:val="both"/>
      </w:pPr>
    </w:p>
    <w:p w14:paraId="20EA9403" w14:textId="55D12488" w:rsidR="00F03158" w:rsidRPr="002A578D" w:rsidRDefault="00F03158" w:rsidP="004356F0">
      <w:pPr>
        <w:jc w:val="both"/>
      </w:pPr>
      <w:r w:rsidRPr="002A578D">
        <w:t>Määruse rakendamisega ei kaasne</w:t>
      </w:r>
      <w:r w:rsidR="00632FAF" w:rsidRPr="00632FAF">
        <w:t xml:space="preserve"> </w:t>
      </w:r>
      <w:r w:rsidR="00632FAF" w:rsidRPr="002A578D">
        <w:t>lisakulusid</w:t>
      </w:r>
      <w:r w:rsidR="002938FA">
        <w:t xml:space="preserve"> ega -tulusid</w:t>
      </w:r>
      <w:r w:rsidRPr="002A578D">
        <w:t>.</w:t>
      </w:r>
    </w:p>
    <w:p w14:paraId="623CEE63" w14:textId="77777777" w:rsidR="00F03158" w:rsidRPr="002A578D" w:rsidRDefault="00F03158" w:rsidP="004356F0">
      <w:pPr>
        <w:jc w:val="both"/>
      </w:pPr>
    </w:p>
    <w:p w14:paraId="569227C0" w14:textId="77777777" w:rsidR="00F03158" w:rsidRPr="002A578D" w:rsidRDefault="00F03158" w:rsidP="004356F0">
      <w:pPr>
        <w:jc w:val="both"/>
        <w:rPr>
          <w:b/>
        </w:rPr>
      </w:pPr>
      <w:r w:rsidRPr="002A578D">
        <w:rPr>
          <w:b/>
        </w:rPr>
        <w:t>6. Määruse jõustumine</w:t>
      </w:r>
    </w:p>
    <w:p w14:paraId="400BDE25" w14:textId="77777777" w:rsidR="00F03158" w:rsidRPr="002A578D" w:rsidRDefault="00F03158" w:rsidP="004356F0">
      <w:pPr>
        <w:jc w:val="both"/>
      </w:pPr>
    </w:p>
    <w:p w14:paraId="225612C7" w14:textId="77777777" w:rsidR="00F03158" w:rsidRPr="002A578D" w:rsidRDefault="007962FF" w:rsidP="004356F0">
      <w:pPr>
        <w:jc w:val="both"/>
      </w:pPr>
      <w:r w:rsidRPr="002A578D">
        <w:t>Määrus jõustub üldises korras.</w:t>
      </w:r>
    </w:p>
    <w:p w14:paraId="5B1B0DE5" w14:textId="77777777" w:rsidR="00F03158" w:rsidRPr="002A578D" w:rsidRDefault="00F03158" w:rsidP="004356F0">
      <w:pPr>
        <w:jc w:val="both"/>
      </w:pPr>
    </w:p>
    <w:p w14:paraId="37F0ED79" w14:textId="77777777" w:rsidR="00F03158" w:rsidRPr="002A578D" w:rsidRDefault="00F03158" w:rsidP="004356F0">
      <w:pPr>
        <w:jc w:val="both"/>
        <w:rPr>
          <w:b/>
        </w:rPr>
      </w:pPr>
      <w:r w:rsidRPr="002A578D">
        <w:rPr>
          <w:b/>
        </w:rPr>
        <w:t>7. Eelnõu kooskõlastamine, huvirühmade kaasamine ja avalik konsultatsioon</w:t>
      </w:r>
    </w:p>
    <w:p w14:paraId="30D30849" w14:textId="77777777" w:rsidR="00F03158" w:rsidRPr="002A578D" w:rsidRDefault="00F03158" w:rsidP="004356F0">
      <w:pPr>
        <w:jc w:val="both"/>
        <w:rPr>
          <w:b/>
        </w:rPr>
      </w:pPr>
    </w:p>
    <w:p w14:paraId="5A2A001C" w14:textId="77777777" w:rsidR="004B3D0E" w:rsidRDefault="004B3D0E" w:rsidP="004B3D0E">
      <w:pPr>
        <w:jc w:val="both"/>
      </w:pPr>
      <w:r>
        <w:t xml:space="preserve">Eelnõu esitatakse eelnõude infosüsteemi EIS kaudu kooskõlastamiseks Rahandusministeeriumile ning Majandus- ja Kommunikatsiooniministeeriumile. </w:t>
      </w:r>
    </w:p>
    <w:p w14:paraId="185316BA" w14:textId="77777777" w:rsidR="004B3D0E" w:rsidRDefault="004B3D0E" w:rsidP="004B3D0E">
      <w:pPr>
        <w:jc w:val="both"/>
      </w:pPr>
    </w:p>
    <w:p w14:paraId="2BCE0BD5" w14:textId="469BAE45" w:rsidR="002E382F" w:rsidRDefault="004B3D0E" w:rsidP="004B3D0E">
      <w:pPr>
        <w:jc w:val="both"/>
      </w:pPr>
      <w:r>
        <w:t>Eelnõu esitatakse arvamuse andmiseks PRIA-le.</w:t>
      </w:r>
    </w:p>
    <w:sectPr w:rsidR="002E382F" w:rsidSect="004D33AE">
      <w:footerReference w:type="default" r:id="rId12"/>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84B5" w16cex:dateUtc="2020-07-03T07:19:00Z"/>
  <w16cex:commentExtensible w16cex:durableId="22A9C2B3" w16cex:dateUtc="2020-07-03T11:44:00Z"/>
  <w16cex:commentExtensible w16cex:durableId="22A9862F" w16cex:dateUtc="2020-07-03T07:25:00Z"/>
  <w16cex:commentExtensible w16cex:durableId="22A986DC" w16cex:dateUtc="2020-07-03T07:28:00Z"/>
  <w16cex:commentExtensible w16cex:durableId="22A9C358" w16cex:dateUtc="2020-07-03T11:46:00Z"/>
  <w16cex:commentExtensible w16cex:durableId="22A989E8" w16cex:dateUtc="2020-07-03T07:41:00Z"/>
  <w16cex:commentExtensible w16cex:durableId="22A98A4C" w16cex:dateUtc="2020-07-03T07:43:00Z"/>
  <w16cex:commentExtensible w16cex:durableId="22A98A5F" w16cex:dateUtc="2020-07-03T07:43:00Z"/>
  <w16cex:commentExtensible w16cex:durableId="22A98B61" w16cex:dateUtc="2020-07-03T07:48:00Z"/>
  <w16cex:commentExtensible w16cex:durableId="22A99595" w16cex:dateUtc="2020-07-03T08:31:00Z"/>
  <w16cex:commentExtensible w16cex:durableId="22A9C48D" w16cex:dateUtc="2020-07-03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D0729F" w16cid:durableId="22A972F9"/>
  <w16cid:commentId w16cid:paraId="27A19373" w16cid:durableId="22A984B5"/>
  <w16cid:commentId w16cid:paraId="345008D6" w16cid:durableId="22A972FA"/>
  <w16cid:commentId w16cid:paraId="1A570803" w16cid:durableId="22A972FB"/>
  <w16cid:commentId w16cid:paraId="701325FE" w16cid:durableId="22A972FC"/>
  <w16cid:commentId w16cid:paraId="2381CF55" w16cid:durableId="22A9C2B3"/>
  <w16cid:commentId w16cid:paraId="4D47FF07" w16cid:durableId="22A972FD"/>
  <w16cid:commentId w16cid:paraId="526C73DB" w16cid:durableId="22A972FE"/>
  <w16cid:commentId w16cid:paraId="3170424F" w16cid:durableId="22A9862F"/>
  <w16cid:commentId w16cid:paraId="4C05F248" w16cid:durableId="22A972FF"/>
  <w16cid:commentId w16cid:paraId="61799E60" w16cid:durableId="22A986DD"/>
  <w16cid:commentId w16cid:paraId="11BDA9C3" w16cid:durableId="22A986DC"/>
  <w16cid:commentId w16cid:paraId="7FC47C91" w16cid:durableId="22A97302"/>
  <w16cid:commentId w16cid:paraId="3BB7586E" w16cid:durableId="22A97303"/>
  <w16cid:commentId w16cid:paraId="1C4422AC" w16cid:durableId="22A97304"/>
  <w16cid:commentId w16cid:paraId="7EE06B0C" w16cid:durableId="22A97305"/>
  <w16cid:commentId w16cid:paraId="67DCBD01" w16cid:durableId="22A9C358"/>
  <w16cid:commentId w16cid:paraId="78FA3D35" w16cid:durableId="22A97306"/>
  <w16cid:commentId w16cid:paraId="66D84B92" w16cid:durableId="22A97307"/>
  <w16cid:commentId w16cid:paraId="3E7090C8" w16cid:durableId="22A989E8"/>
  <w16cid:commentId w16cid:paraId="56479FF4" w16cid:durableId="22A98A4C"/>
  <w16cid:commentId w16cid:paraId="2A5DBC0A" w16cid:durableId="22A98A5F"/>
  <w16cid:commentId w16cid:paraId="272BA4BA" w16cid:durableId="22A97308"/>
  <w16cid:commentId w16cid:paraId="7F1497CB" w16cid:durableId="22A97309"/>
  <w16cid:commentId w16cid:paraId="745092FE" w16cid:durableId="22A9730A"/>
  <w16cid:commentId w16cid:paraId="71DC5413" w16cid:durableId="22A9730B"/>
  <w16cid:commentId w16cid:paraId="01FEF736" w16cid:durableId="22A98B61"/>
  <w16cid:commentId w16cid:paraId="16A5222D" w16cid:durableId="22A99595"/>
  <w16cid:commentId w16cid:paraId="3113793D" w16cid:durableId="22A9C4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B20D" w14:textId="77777777" w:rsidR="00D94D6A" w:rsidRDefault="00D94D6A" w:rsidP="003D42EE">
      <w:r>
        <w:separator/>
      </w:r>
    </w:p>
  </w:endnote>
  <w:endnote w:type="continuationSeparator" w:id="0">
    <w:p w14:paraId="328FB0CA" w14:textId="77777777" w:rsidR="00D94D6A" w:rsidRDefault="00D94D6A" w:rsidP="003D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5731"/>
      <w:docPartObj>
        <w:docPartGallery w:val="Page Numbers (Bottom of Page)"/>
        <w:docPartUnique/>
      </w:docPartObj>
    </w:sdtPr>
    <w:sdtEndPr/>
    <w:sdtContent>
      <w:p w14:paraId="18CE2965" w14:textId="54557936" w:rsidR="003D42EE" w:rsidRDefault="003D42EE">
        <w:pPr>
          <w:pStyle w:val="Footer"/>
          <w:jc w:val="center"/>
        </w:pPr>
        <w:r>
          <w:fldChar w:fldCharType="begin"/>
        </w:r>
        <w:r>
          <w:instrText>PAGE   \* MERGEFORMAT</w:instrText>
        </w:r>
        <w:r>
          <w:fldChar w:fldCharType="separate"/>
        </w:r>
        <w:r w:rsidR="00016A0B">
          <w:rPr>
            <w:noProof/>
          </w:rPr>
          <w:t>2</w:t>
        </w:r>
        <w:r>
          <w:fldChar w:fldCharType="end"/>
        </w:r>
      </w:p>
    </w:sdtContent>
  </w:sdt>
  <w:p w14:paraId="44F55DFF" w14:textId="77777777" w:rsidR="003D42EE" w:rsidRDefault="003D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40CDE" w14:textId="77777777" w:rsidR="00D94D6A" w:rsidRDefault="00D94D6A" w:rsidP="003D42EE">
      <w:r>
        <w:separator/>
      </w:r>
    </w:p>
  </w:footnote>
  <w:footnote w:type="continuationSeparator" w:id="0">
    <w:p w14:paraId="20A80023" w14:textId="77777777" w:rsidR="00D94D6A" w:rsidRDefault="00D94D6A" w:rsidP="003D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21AC5"/>
    <w:multiLevelType w:val="hybridMultilevel"/>
    <w:tmpl w:val="BB1A66EA"/>
    <w:lvl w:ilvl="0" w:tplc="DAD25A96">
      <w:start w:val="6"/>
      <w:numFmt w:val="bullet"/>
      <w:lvlText w:val="-"/>
      <w:lvlJc w:val="left"/>
      <w:pPr>
        <w:ind w:left="405" w:hanging="360"/>
      </w:pPr>
      <w:rPr>
        <w:rFonts w:ascii="Times New Roman" w:eastAsia="Times New Roman"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B3"/>
    <w:rsid w:val="00002AAF"/>
    <w:rsid w:val="00006A25"/>
    <w:rsid w:val="00014CDD"/>
    <w:rsid w:val="00015849"/>
    <w:rsid w:val="00016A0B"/>
    <w:rsid w:val="00017A49"/>
    <w:rsid w:val="00017D93"/>
    <w:rsid w:val="00020F13"/>
    <w:rsid w:val="000275E3"/>
    <w:rsid w:val="00037D31"/>
    <w:rsid w:val="000428C3"/>
    <w:rsid w:val="000429AB"/>
    <w:rsid w:val="00053CB8"/>
    <w:rsid w:val="0005513B"/>
    <w:rsid w:val="00055726"/>
    <w:rsid w:val="000563B5"/>
    <w:rsid w:val="00056FE0"/>
    <w:rsid w:val="000678EA"/>
    <w:rsid w:val="00071F64"/>
    <w:rsid w:val="00074D33"/>
    <w:rsid w:val="00074F25"/>
    <w:rsid w:val="00075B6D"/>
    <w:rsid w:val="000766F1"/>
    <w:rsid w:val="00077067"/>
    <w:rsid w:val="00077155"/>
    <w:rsid w:val="000816A4"/>
    <w:rsid w:val="0008236E"/>
    <w:rsid w:val="00084ED6"/>
    <w:rsid w:val="000903AC"/>
    <w:rsid w:val="000913A1"/>
    <w:rsid w:val="000916F4"/>
    <w:rsid w:val="00094138"/>
    <w:rsid w:val="000944F7"/>
    <w:rsid w:val="000950F4"/>
    <w:rsid w:val="000966B3"/>
    <w:rsid w:val="000A1489"/>
    <w:rsid w:val="000A22D2"/>
    <w:rsid w:val="000A5FA8"/>
    <w:rsid w:val="000A6116"/>
    <w:rsid w:val="000A67EA"/>
    <w:rsid w:val="000A6A1B"/>
    <w:rsid w:val="000B3AC1"/>
    <w:rsid w:val="000B4CDA"/>
    <w:rsid w:val="000B5897"/>
    <w:rsid w:val="000B7705"/>
    <w:rsid w:val="000C0CD2"/>
    <w:rsid w:val="000C2DD8"/>
    <w:rsid w:val="000C38CD"/>
    <w:rsid w:val="000C69A4"/>
    <w:rsid w:val="000C7B5E"/>
    <w:rsid w:val="000D2053"/>
    <w:rsid w:val="000D33D3"/>
    <w:rsid w:val="000E29C1"/>
    <w:rsid w:val="000E7F88"/>
    <w:rsid w:val="000F13A7"/>
    <w:rsid w:val="000F2897"/>
    <w:rsid w:val="000F3352"/>
    <w:rsid w:val="00102D5E"/>
    <w:rsid w:val="00105205"/>
    <w:rsid w:val="00106C74"/>
    <w:rsid w:val="00107608"/>
    <w:rsid w:val="001106C0"/>
    <w:rsid w:val="00115C0F"/>
    <w:rsid w:val="00116FAD"/>
    <w:rsid w:val="00117596"/>
    <w:rsid w:val="00120D33"/>
    <w:rsid w:val="0012219C"/>
    <w:rsid w:val="00123526"/>
    <w:rsid w:val="00126235"/>
    <w:rsid w:val="001301AC"/>
    <w:rsid w:val="00130A24"/>
    <w:rsid w:val="00130A32"/>
    <w:rsid w:val="00131F4E"/>
    <w:rsid w:val="00132F18"/>
    <w:rsid w:val="00135EE8"/>
    <w:rsid w:val="00137C30"/>
    <w:rsid w:val="00143693"/>
    <w:rsid w:val="00150FA8"/>
    <w:rsid w:val="001510A8"/>
    <w:rsid w:val="00152893"/>
    <w:rsid w:val="001531BE"/>
    <w:rsid w:val="0015492D"/>
    <w:rsid w:val="00154BE8"/>
    <w:rsid w:val="0016600F"/>
    <w:rsid w:val="00170AFD"/>
    <w:rsid w:val="0017625F"/>
    <w:rsid w:val="00176398"/>
    <w:rsid w:val="00185A99"/>
    <w:rsid w:val="00186FCA"/>
    <w:rsid w:val="00187306"/>
    <w:rsid w:val="00187CE6"/>
    <w:rsid w:val="0019252B"/>
    <w:rsid w:val="00194604"/>
    <w:rsid w:val="00194D4C"/>
    <w:rsid w:val="00197F20"/>
    <w:rsid w:val="001A1A35"/>
    <w:rsid w:val="001A29C3"/>
    <w:rsid w:val="001A35F0"/>
    <w:rsid w:val="001A4407"/>
    <w:rsid w:val="001A647C"/>
    <w:rsid w:val="001B3407"/>
    <w:rsid w:val="001B428C"/>
    <w:rsid w:val="001B4A19"/>
    <w:rsid w:val="001B7069"/>
    <w:rsid w:val="001B7445"/>
    <w:rsid w:val="001B7E02"/>
    <w:rsid w:val="001B7FE4"/>
    <w:rsid w:val="001C00DA"/>
    <w:rsid w:val="001C377A"/>
    <w:rsid w:val="001C4116"/>
    <w:rsid w:val="001C4238"/>
    <w:rsid w:val="001C4705"/>
    <w:rsid w:val="001C4B72"/>
    <w:rsid w:val="001C4D19"/>
    <w:rsid w:val="001C5454"/>
    <w:rsid w:val="001D21FF"/>
    <w:rsid w:val="001D516D"/>
    <w:rsid w:val="001D74D5"/>
    <w:rsid w:val="001E133F"/>
    <w:rsid w:val="001E662F"/>
    <w:rsid w:val="001F1F70"/>
    <w:rsid w:val="001F29A1"/>
    <w:rsid w:val="001F2FA2"/>
    <w:rsid w:val="001F6762"/>
    <w:rsid w:val="00201567"/>
    <w:rsid w:val="00202782"/>
    <w:rsid w:val="00210671"/>
    <w:rsid w:val="0021211F"/>
    <w:rsid w:val="00212628"/>
    <w:rsid w:val="00213816"/>
    <w:rsid w:val="00214740"/>
    <w:rsid w:val="00215E45"/>
    <w:rsid w:val="0022193D"/>
    <w:rsid w:val="00226E10"/>
    <w:rsid w:val="0023400B"/>
    <w:rsid w:val="00235A15"/>
    <w:rsid w:val="002362CA"/>
    <w:rsid w:val="00240D83"/>
    <w:rsid w:val="00241FF9"/>
    <w:rsid w:val="00245ACE"/>
    <w:rsid w:val="0025058E"/>
    <w:rsid w:val="00250B05"/>
    <w:rsid w:val="00250BE7"/>
    <w:rsid w:val="00251416"/>
    <w:rsid w:val="00255902"/>
    <w:rsid w:val="00255A44"/>
    <w:rsid w:val="00257058"/>
    <w:rsid w:val="002629BD"/>
    <w:rsid w:val="00267179"/>
    <w:rsid w:val="0027548B"/>
    <w:rsid w:val="00276B73"/>
    <w:rsid w:val="002772D9"/>
    <w:rsid w:val="002809DA"/>
    <w:rsid w:val="002821C3"/>
    <w:rsid w:val="00282FB0"/>
    <w:rsid w:val="002842A7"/>
    <w:rsid w:val="00284E3A"/>
    <w:rsid w:val="0029245D"/>
    <w:rsid w:val="002938FA"/>
    <w:rsid w:val="002939B1"/>
    <w:rsid w:val="00295C9B"/>
    <w:rsid w:val="002968E0"/>
    <w:rsid w:val="00297A91"/>
    <w:rsid w:val="002A2893"/>
    <w:rsid w:val="002A578D"/>
    <w:rsid w:val="002A6198"/>
    <w:rsid w:val="002B02B3"/>
    <w:rsid w:val="002B1B3F"/>
    <w:rsid w:val="002B214F"/>
    <w:rsid w:val="002B50FB"/>
    <w:rsid w:val="002C474C"/>
    <w:rsid w:val="002C7FEB"/>
    <w:rsid w:val="002D0817"/>
    <w:rsid w:val="002D5298"/>
    <w:rsid w:val="002D6483"/>
    <w:rsid w:val="002D758A"/>
    <w:rsid w:val="002E1578"/>
    <w:rsid w:val="002E1779"/>
    <w:rsid w:val="002E382F"/>
    <w:rsid w:val="002E5DC8"/>
    <w:rsid w:val="002F230A"/>
    <w:rsid w:val="002F5C15"/>
    <w:rsid w:val="002F734C"/>
    <w:rsid w:val="00304937"/>
    <w:rsid w:val="0030792F"/>
    <w:rsid w:val="00307BB5"/>
    <w:rsid w:val="00314619"/>
    <w:rsid w:val="0032748B"/>
    <w:rsid w:val="003279A4"/>
    <w:rsid w:val="00334517"/>
    <w:rsid w:val="00335478"/>
    <w:rsid w:val="00335AB4"/>
    <w:rsid w:val="00337550"/>
    <w:rsid w:val="00337AAD"/>
    <w:rsid w:val="00342BB9"/>
    <w:rsid w:val="00342F35"/>
    <w:rsid w:val="003432A0"/>
    <w:rsid w:val="0035022D"/>
    <w:rsid w:val="00364F7C"/>
    <w:rsid w:val="0037697E"/>
    <w:rsid w:val="00376DEB"/>
    <w:rsid w:val="00382F17"/>
    <w:rsid w:val="003837F3"/>
    <w:rsid w:val="00385572"/>
    <w:rsid w:val="00390776"/>
    <w:rsid w:val="00394D40"/>
    <w:rsid w:val="003A226B"/>
    <w:rsid w:val="003A31CC"/>
    <w:rsid w:val="003A491F"/>
    <w:rsid w:val="003A56E8"/>
    <w:rsid w:val="003A67E6"/>
    <w:rsid w:val="003A7B22"/>
    <w:rsid w:val="003B53BD"/>
    <w:rsid w:val="003B6D70"/>
    <w:rsid w:val="003C2659"/>
    <w:rsid w:val="003C30F9"/>
    <w:rsid w:val="003C59AC"/>
    <w:rsid w:val="003D09F4"/>
    <w:rsid w:val="003D0A5E"/>
    <w:rsid w:val="003D1BC4"/>
    <w:rsid w:val="003D1C3A"/>
    <w:rsid w:val="003D2162"/>
    <w:rsid w:val="003D3A8A"/>
    <w:rsid w:val="003D3B15"/>
    <w:rsid w:val="003D42EE"/>
    <w:rsid w:val="003D577F"/>
    <w:rsid w:val="003E397C"/>
    <w:rsid w:val="003E3FA7"/>
    <w:rsid w:val="003E4798"/>
    <w:rsid w:val="003E68AF"/>
    <w:rsid w:val="003F38D7"/>
    <w:rsid w:val="003F3EAA"/>
    <w:rsid w:val="003F4818"/>
    <w:rsid w:val="003F769A"/>
    <w:rsid w:val="00402F79"/>
    <w:rsid w:val="004042FD"/>
    <w:rsid w:val="004057ED"/>
    <w:rsid w:val="00405F21"/>
    <w:rsid w:val="00406019"/>
    <w:rsid w:val="00407778"/>
    <w:rsid w:val="00411736"/>
    <w:rsid w:val="00412E0E"/>
    <w:rsid w:val="00413758"/>
    <w:rsid w:val="00416E21"/>
    <w:rsid w:val="0042331B"/>
    <w:rsid w:val="0042576F"/>
    <w:rsid w:val="004260D8"/>
    <w:rsid w:val="004265F0"/>
    <w:rsid w:val="0043218D"/>
    <w:rsid w:val="004356F0"/>
    <w:rsid w:val="00442573"/>
    <w:rsid w:val="004444F1"/>
    <w:rsid w:val="0044524B"/>
    <w:rsid w:val="00452147"/>
    <w:rsid w:val="00452D92"/>
    <w:rsid w:val="0045772E"/>
    <w:rsid w:val="00461836"/>
    <w:rsid w:val="004678EA"/>
    <w:rsid w:val="00467E3B"/>
    <w:rsid w:val="0047103B"/>
    <w:rsid w:val="004734A8"/>
    <w:rsid w:val="00474A83"/>
    <w:rsid w:val="004837F1"/>
    <w:rsid w:val="00484A55"/>
    <w:rsid w:val="00484BEE"/>
    <w:rsid w:val="0048601A"/>
    <w:rsid w:val="00487CC1"/>
    <w:rsid w:val="00492E3E"/>
    <w:rsid w:val="0049645C"/>
    <w:rsid w:val="004A0237"/>
    <w:rsid w:val="004A1607"/>
    <w:rsid w:val="004A17AC"/>
    <w:rsid w:val="004A5671"/>
    <w:rsid w:val="004A5AFE"/>
    <w:rsid w:val="004A7ED5"/>
    <w:rsid w:val="004A7F60"/>
    <w:rsid w:val="004B0138"/>
    <w:rsid w:val="004B3959"/>
    <w:rsid w:val="004B3D0E"/>
    <w:rsid w:val="004C0855"/>
    <w:rsid w:val="004C2D7D"/>
    <w:rsid w:val="004C35FA"/>
    <w:rsid w:val="004C50A2"/>
    <w:rsid w:val="004C7EE6"/>
    <w:rsid w:val="004D01AF"/>
    <w:rsid w:val="004D0BF8"/>
    <w:rsid w:val="004D1239"/>
    <w:rsid w:val="004D1C8B"/>
    <w:rsid w:val="004D33AE"/>
    <w:rsid w:val="004D3722"/>
    <w:rsid w:val="004D4270"/>
    <w:rsid w:val="004F1BF5"/>
    <w:rsid w:val="004F2A5F"/>
    <w:rsid w:val="004F2D3A"/>
    <w:rsid w:val="004F3566"/>
    <w:rsid w:val="004F76C9"/>
    <w:rsid w:val="00501681"/>
    <w:rsid w:val="005025CA"/>
    <w:rsid w:val="0050325D"/>
    <w:rsid w:val="00505B1A"/>
    <w:rsid w:val="005060F9"/>
    <w:rsid w:val="00513A0E"/>
    <w:rsid w:val="0051749C"/>
    <w:rsid w:val="005175C4"/>
    <w:rsid w:val="005203F4"/>
    <w:rsid w:val="00523016"/>
    <w:rsid w:val="005230CA"/>
    <w:rsid w:val="00524881"/>
    <w:rsid w:val="00525926"/>
    <w:rsid w:val="00526080"/>
    <w:rsid w:val="0053108D"/>
    <w:rsid w:val="005340CB"/>
    <w:rsid w:val="00534D68"/>
    <w:rsid w:val="00537641"/>
    <w:rsid w:val="005406A7"/>
    <w:rsid w:val="0054302D"/>
    <w:rsid w:val="00552431"/>
    <w:rsid w:val="00554659"/>
    <w:rsid w:val="005560E8"/>
    <w:rsid w:val="005601D6"/>
    <w:rsid w:val="0056532C"/>
    <w:rsid w:val="00571348"/>
    <w:rsid w:val="00574C83"/>
    <w:rsid w:val="0057722F"/>
    <w:rsid w:val="0058025F"/>
    <w:rsid w:val="00582B50"/>
    <w:rsid w:val="00586040"/>
    <w:rsid w:val="005870F8"/>
    <w:rsid w:val="00587913"/>
    <w:rsid w:val="00587FDE"/>
    <w:rsid w:val="00590815"/>
    <w:rsid w:val="005913CC"/>
    <w:rsid w:val="0059502E"/>
    <w:rsid w:val="00596F26"/>
    <w:rsid w:val="00597686"/>
    <w:rsid w:val="005A30F3"/>
    <w:rsid w:val="005A48AF"/>
    <w:rsid w:val="005A5774"/>
    <w:rsid w:val="005B1631"/>
    <w:rsid w:val="005B1B70"/>
    <w:rsid w:val="005B3085"/>
    <w:rsid w:val="005B5ADF"/>
    <w:rsid w:val="005B73A6"/>
    <w:rsid w:val="005C248C"/>
    <w:rsid w:val="005C2946"/>
    <w:rsid w:val="005C4A8B"/>
    <w:rsid w:val="005C59DF"/>
    <w:rsid w:val="005D33FF"/>
    <w:rsid w:val="005D685F"/>
    <w:rsid w:val="005D7BF1"/>
    <w:rsid w:val="005E169D"/>
    <w:rsid w:val="005E3AB3"/>
    <w:rsid w:val="005E59B5"/>
    <w:rsid w:val="005E69AB"/>
    <w:rsid w:val="005F076D"/>
    <w:rsid w:val="005F0FBB"/>
    <w:rsid w:val="005F31C4"/>
    <w:rsid w:val="005F5A3E"/>
    <w:rsid w:val="005F6E9B"/>
    <w:rsid w:val="00602519"/>
    <w:rsid w:val="00604EFF"/>
    <w:rsid w:val="0060581A"/>
    <w:rsid w:val="00607F7E"/>
    <w:rsid w:val="006115A2"/>
    <w:rsid w:val="0061552E"/>
    <w:rsid w:val="00615FB6"/>
    <w:rsid w:val="0061793B"/>
    <w:rsid w:val="006206A7"/>
    <w:rsid w:val="00624BF1"/>
    <w:rsid w:val="006268BD"/>
    <w:rsid w:val="00632F5B"/>
    <w:rsid w:val="00632FAF"/>
    <w:rsid w:val="006400EA"/>
    <w:rsid w:val="00643EFE"/>
    <w:rsid w:val="00645245"/>
    <w:rsid w:val="00646586"/>
    <w:rsid w:val="00654744"/>
    <w:rsid w:val="00656427"/>
    <w:rsid w:val="006577F6"/>
    <w:rsid w:val="006602DC"/>
    <w:rsid w:val="00661FE8"/>
    <w:rsid w:val="00665C98"/>
    <w:rsid w:val="006663BF"/>
    <w:rsid w:val="00666C64"/>
    <w:rsid w:val="00670877"/>
    <w:rsid w:val="00676152"/>
    <w:rsid w:val="00692100"/>
    <w:rsid w:val="00696881"/>
    <w:rsid w:val="006A1F39"/>
    <w:rsid w:val="006A2ACA"/>
    <w:rsid w:val="006A3C13"/>
    <w:rsid w:val="006A3DD7"/>
    <w:rsid w:val="006B23BB"/>
    <w:rsid w:val="006B3EA5"/>
    <w:rsid w:val="006B4291"/>
    <w:rsid w:val="006B4F5B"/>
    <w:rsid w:val="006B644F"/>
    <w:rsid w:val="006B7572"/>
    <w:rsid w:val="006C48C8"/>
    <w:rsid w:val="006C5CE5"/>
    <w:rsid w:val="006D0480"/>
    <w:rsid w:val="006D0EAF"/>
    <w:rsid w:val="006D4E08"/>
    <w:rsid w:val="006E1DAC"/>
    <w:rsid w:val="006E5A6B"/>
    <w:rsid w:val="006E7DC2"/>
    <w:rsid w:val="006F2347"/>
    <w:rsid w:val="006F4AAA"/>
    <w:rsid w:val="006F72AF"/>
    <w:rsid w:val="00703841"/>
    <w:rsid w:val="007113C0"/>
    <w:rsid w:val="00711E34"/>
    <w:rsid w:val="00712124"/>
    <w:rsid w:val="00713BAA"/>
    <w:rsid w:val="00722285"/>
    <w:rsid w:val="00723A0B"/>
    <w:rsid w:val="00726508"/>
    <w:rsid w:val="00726BD0"/>
    <w:rsid w:val="00730861"/>
    <w:rsid w:val="00734A82"/>
    <w:rsid w:val="0073551A"/>
    <w:rsid w:val="00735669"/>
    <w:rsid w:val="00736709"/>
    <w:rsid w:val="007372ED"/>
    <w:rsid w:val="00737B53"/>
    <w:rsid w:val="0074074A"/>
    <w:rsid w:val="00741E03"/>
    <w:rsid w:val="00744455"/>
    <w:rsid w:val="007445B8"/>
    <w:rsid w:val="00744A1B"/>
    <w:rsid w:val="007452F9"/>
    <w:rsid w:val="00747C9F"/>
    <w:rsid w:val="00750481"/>
    <w:rsid w:val="00750DBF"/>
    <w:rsid w:val="00750F1B"/>
    <w:rsid w:val="007512B8"/>
    <w:rsid w:val="0075196F"/>
    <w:rsid w:val="00751BFB"/>
    <w:rsid w:val="00752438"/>
    <w:rsid w:val="0075617F"/>
    <w:rsid w:val="007607FA"/>
    <w:rsid w:val="00761DE5"/>
    <w:rsid w:val="00761EDA"/>
    <w:rsid w:val="0076359E"/>
    <w:rsid w:val="00765439"/>
    <w:rsid w:val="00771FD4"/>
    <w:rsid w:val="00772CC8"/>
    <w:rsid w:val="00773710"/>
    <w:rsid w:val="0077449F"/>
    <w:rsid w:val="00776E8E"/>
    <w:rsid w:val="00790C77"/>
    <w:rsid w:val="00791F9A"/>
    <w:rsid w:val="007921FC"/>
    <w:rsid w:val="007962FF"/>
    <w:rsid w:val="0079648F"/>
    <w:rsid w:val="0079719D"/>
    <w:rsid w:val="007A319E"/>
    <w:rsid w:val="007A394E"/>
    <w:rsid w:val="007A44CB"/>
    <w:rsid w:val="007A501F"/>
    <w:rsid w:val="007B0121"/>
    <w:rsid w:val="007B0395"/>
    <w:rsid w:val="007B2179"/>
    <w:rsid w:val="007B312C"/>
    <w:rsid w:val="007B3CA8"/>
    <w:rsid w:val="007B4967"/>
    <w:rsid w:val="007B635D"/>
    <w:rsid w:val="007B6951"/>
    <w:rsid w:val="007C14BE"/>
    <w:rsid w:val="007C758B"/>
    <w:rsid w:val="007C793E"/>
    <w:rsid w:val="007D2241"/>
    <w:rsid w:val="007D760A"/>
    <w:rsid w:val="007E2914"/>
    <w:rsid w:val="007E31F0"/>
    <w:rsid w:val="007E629C"/>
    <w:rsid w:val="007F283B"/>
    <w:rsid w:val="007F51D0"/>
    <w:rsid w:val="007F6F55"/>
    <w:rsid w:val="0080090E"/>
    <w:rsid w:val="00801FE8"/>
    <w:rsid w:val="00804389"/>
    <w:rsid w:val="00810105"/>
    <w:rsid w:val="0081357A"/>
    <w:rsid w:val="00815180"/>
    <w:rsid w:val="00815524"/>
    <w:rsid w:val="00815D15"/>
    <w:rsid w:val="00820979"/>
    <w:rsid w:val="00820CCF"/>
    <w:rsid w:val="0082212B"/>
    <w:rsid w:val="00825960"/>
    <w:rsid w:val="00826E86"/>
    <w:rsid w:val="00827AB7"/>
    <w:rsid w:val="00835699"/>
    <w:rsid w:val="00836A3F"/>
    <w:rsid w:val="00837D97"/>
    <w:rsid w:val="00837E57"/>
    <w:rsid w:val="00840787"/>
    <w:rsid w:val="00840E90"/>
    <w:rsid w:val="008418EA"/>
    <w:rsid w:val="00843245"/>
    <w:rsid w:val="00843430"/>
    <w:rsid w:val="008442E2"/>
    <w:rsid w:val="00850DBA"/>
    <w:rsid w:val="0085625E"/>
    <w:rsid w:val="008574CB"/>
    <w:rsid w:val="00857D7C"/>
    <w:rsid w:val="00863A3E"/>
    <w:rsid w:val="00871BEC"/>
    <w:rsid w:val="00872A43"/>
    <w:rsid w:val="00873726"/>
    <w:rsid w:val="00874640"/>
    <w:rsid w:val="008759A9"/>
    <w:rsid w:val="008759DA"/>
    <w:rsid w:val="00876F2F"/>
    <w:rsid w:val="00882E78"/>
    <w:rsid w:val="00884899"/>
    <w:rsid w:val="0088561C"/>
    <w:rsid w:val="008859EE"/>
    <w:rsid w:val="00887999"/>
    <w:rsid w:val="0089020B"/>
    <w:rsid w:val="00891F02"/>
    <w:rsid w:val="00895FCB"/>
    <w:rsid w:val="008A0451"/>
    <w:rsid w:val="008A170D"/>
    <w:rsid w:val="008A5A7E"/>
    <w:rsid w:val="008A7E73"/>
    <w:rsid w:val="008B0CDA"/>
    <w:rsid w:val="008B1DAB"/>
    <w:rsid w:val="008B3A55"/>
    <w:rsid w:val="008B4F04"/>
    <w:rsid w:val="008B74D7"/>
    <w:rsid w:val="008C10B3"/>
    <w:rsid w:val="008C1623"/>
    <w:rsid w:val="008C388F"/>
    <w:rsid w:val="008C3E02"/>
    <w:rsid w:val="008C77B7"/>
    <w:rsid w:val="008C78A0"/>
    <w:rsid w:val="008D0A3E"/>
    <w:rsid w:val="008D1925"/>
    <w:rsid w:val="008D1D97"/>
    <w:rsid w:val="008D795A"/>
    <w:rsid w:val="008E239E"/>
    <w:rsid w:val="008E38C5"/>
    <w:rsid w:val="008F1EF3"/>
    <w:rsid w:val="008F370A"/>
    <w:rsid w:val="009007B6"/>
    <w:rsid w:val="00903C60"/>
    <w:rsid w:val="00904321"/>
    <w:rsid w:val="00910F45"/>
    <w:rsid w:val="00912A5D"/>
    <w:rsid w:val="00913084"/>
    <w:rsid w:val="00916BB5"/>
    <w:rsid w:val="00921F31"/>
    <w:rsid w:val="00924448"/>
    <w:rsid w:val="0092599E"/>
    <w:rsid w:val="00931738"/>
    <w:rsid w:val="00931BC4"/>
    <w:rsid w:val="00934885"/>
    <w:rsid w:val="0093545F"/>
    <w:rsid w:val="0093600B"/>
    <w:rsid w:val="00936BDE"/>
    <w:rsid w:val="00941A9A"/>
    <w:rsid w:val="00941DB2"/>
    <w:rsid w:val="00943190"/>
    <w:rsid w:val="009433DD"/>
    <w:rsid w:val="00944570"/>
    <w:rsid w:val="00947A73"/>
    <w:rsid w:val="009515A4"/>
    <w:rsid w:val="009537A0"/>
    <w:rsid w:val="009543DE"/>
    <w:rsid w:val="00954BD2"/>
    <w:rsid w:val="009622E8"/>
    <w:rsid w:val="009658D9"/>
    <w:rsid w:val="00967E4E"/>
    <w:rsid w:val="00973FD7"/>
    <w:rsid w:val="0098502A"/>
    <w:rsid w:val="00993289"/>
    <w:rsid w:val="00996BAB"/>
    <w:rsid w:val="009A4399"/>
    <w:rsid w:val="009B0D89"/>
    <w:rsid w:val="009B6CDC"/>
    <w:rsid w:val="009C6AAF"/>
    <w:rsid w:val="009D1D0B"/>
    <w:rsid w:val="009D3657"/>
    <w:rsid w:val="009E71E8"/>
    <w:rsid w:val="009F3934"/>
    <w:rsid w:val="00A002D8"/>
    <w:rsid w:val="00A02B9F"/>
    <w:rsid w:val="00A059A6"/>
    <w:rsid w:val="00A064FA"/>
    <w:rsid w:val="00A11780"/>
    <w:rsid w:val="00A14C26"/>
    <w:rsid w:val="00A16FD4"/>
    <w:rsid w:val="00A2660C"/>
    <w:rsid w:val="00A30ADC"/>
    <w:rsid w:val="00A320A7"/>
    <w:rsid w:val="00A33B27"/>
    <w:rsid w:val="00A460FB"/>
    <w:rsid w:val="00A4729C"/>
    <w:rsid w:val="00A511CD"/>
    <w:rsid w:val="00A51BB2"/>
    <w:rsid w:val="00A53EEF"/>
    <w:rsid w:val="00A5526D"/>
    <w:rsid w:val="00A5538D"/>
    <w:rsid w:val="00A578C6"/>
    <w:rsid w:val="00A602E1"/>
    <w:rsid w:val="00A618DC"/>
    <w:rsid w:val="00A676A9"/>
    <w:rsid w:val="00A7009A"/>
    <w:rsid w:val="00A7421D"/>
    <w:rsid w:val="00A753E7"/>
    <w:rsid w:val="00A779D9"/>
    <w:rsid w:val="00A80F77"/>
    <w:rsid w:val="00A84196"/>
    <w:rsid w:val="00A8712F"/>
    <w:rsid w:val="00A87422"/>
    <w:rsid w:val="00A9024D"/>
    <w:rsid w:val="00A9532A"/>
    <w:rsid w:val="00A95AD4"/>
    <w:rsid w:val="00A95F6D"/>
    <w:rsid w:val="00AA6F25"/>
    <w:rsid w:val="00AB1D47"/>
    <w:rsid w:val="00AB1EB3"/>
    <w:rsid w:val="00AB24CF"/>
    <w:rsid w:val="00AB37ED"/>
    <w:rsid w:val="00AB48D3"/>
    <w:rsid w:val="00AB78E4"/>
    <w:rsid w:val="00AC0D89"/>
    <w:rsid w:val="00AC2F10"/>
    <w:rsid w:val="00AC4797"/>
    <w:rsid w:val="00AC5D54"/>
    <w:rsid w:val="00AD0F15"/>
    <w:rsid w:val="00AD1DDB"/>
    <w:rsid w:val="00AD23D7"/>
    <w:rsid w:val="00AD4069"/>
    <w:rsid w:val="00AD6775"/>
    <w:rsid w:val="00AE3080"/>
    <w:rsid w:val="00AE457D"/>
    <w:rsid w:val="00AE6692"/>
    <w:rsid w:val="00AE6856"/>
    <w:rsid w:val="00AF167B"/>
    <w:rsid w:val="00AF2034"/>
    <w:rsid w:val="00AF4EF7"/>
    <w:rsid w:val="00AF7A9C"/>
    <w:rsid w:val="00B050E7"/>
    <w:rsid w:val="00B07F78"/>
    <w:rsid w:val="00B16C16"/>
    <w:rsid w:val="00B1717E"/>
    <w:rsid w:val="00B2026E"/>
    <w:rsid w:val="00B2589D"/>
    <w:rsid w:val="00B25925"/>
    <w:rsid w:val="00B30926"/>
    <w:rsid w:val="00B312B3"/>
    <w:rsid w:val="00B33B8D"/>
    <w:rsid w:val="00B35641"/>
    <w:rsid w:val="00B375C0"/>
    <w:rsid w:val="00B3763D"/>
    <w:rsid w:val="00B420D2"/>
    <w:rsid w:val="00B47449"/>
    <w:rsid w:val="00B559A6"/>
    <w:rsid w:val="00B56264"/>
    <w:rsid w:val="00B6112C"/>
    <w:rsid w:val="00B66D7B"/>
    <w:rsid w:val="00B67D74"/>
    <w:rsid w:val="00B704B8"/>
    <w:rsid w:val="00B72F52"/>
    <w:rsid w:val="00B76DE5"/>
    <w:rsid w:val="00B770F1"/>
    <w:rsid w:val="00B779B6"/>
    <w:rsid w:val="00B80F00"/>
    <w:rsid w:val="00B83F31"/>
    <w:rsid w:val="00B86099"/>
    <w:rsid w:val="00B92686"/>
    <w:rsid w:val="00B92D7F"/>
    <w:rsid w:val="00B9355D"/>
    <w:rsid w:val="00B96308"/>
    <w:rsid w:val="00B97C57"/>
    <w:rsid w:val="00BA01E3"/>
    <w:rsid w:val="00BA0E27"/>
    <w:rsid w:val="00BA254E"/>
    <w:rsid w:val="00BB1C8D"/>
    <w:rsid w:val="00BB25CC"/>
    <w:rsid w:val="00BB264A"/>
    <w:rsid w:val="00BB5605"/>
    <w:rsid w:val="00BB5FEA"/>
    <w:rsid w:val="00BC274B"/>
    <w:rsid w:val="00BC3354"/>
    <w:rsid w:val="00BC4322"/>
    <w:rsid w:val="00BC643C"/>
    <w:rsid w:val="00BD106C"/>
    <w:rsid w:val="00BD47C8"/>
    <w:rsid w:val="00BD58A4"/>
    <w:rsid w:val="00BD6CDF"/>
    <w:rsid w:val="00BD7C1A"/>
    <w:rsid w:val="00BE1409"/>
    <w:rsid w:val="00BE1FDC"/>
    <w:rsid w:val="00BE5D3E"/>
    <w:rsid w:val="00BF023D"/>
    <w:rsid w:val="00BF02A2"/>
    <w:rsid w:val="00BF25B8"/>
    <w:rsid w:val="00BF278F"/>
    <w:rsid w:val="00BF2972"/>
    <w:rsid w:val="00BF4FAD"/>
    <w:rsid w:val="00C02450"/>
    <w:rsid w:val="00C051EA"/>
    <w:rsid w:val="00C05EC7"/>
    <w:rsid w:val="00C12516"/>
    <w:rsid w:val="00C1510E"/>
    <w:rsid w:val="00C16E48"/>
    <w:rsid w:val="00C2075C"/>
    <w:rsid w:val="00C21800"/>
    <w:rsid w:val="00C23BD6"/>
    <w:rsid w:val="00C27EE8"/>
    <w:rsid w:val="00C35EAC"/>
    <w:rsid w:val="00C406B0"/>
    <w:rsid w:val="00C43A64"/>
    <w:rsid w:val="00C453F8"/>
    <w:rsid w:val="00C45846"/>
    <w:rsid w:val="00C47E37"/>
    <w:rsid w:val="00C5631A"/>
    <w:rsid w:val="00C56BB5"/>
    <w:rsid w:val="00C579C9"/>
    <w:rsid w:val="00C633F4"/>
    <w:rsid w:val="00C65C3A"/>
    <w:rsid w:val="00C65C98"/>
    <w:rsid w:val="00C6790F"/>
    <w:rsid w:val="00C70017"/>
    <w:rsid w:val="00C705DD"/>
    <w:rsid w:val="00C70A3C"/>
    <w:rsid w:val="00C7149C"/>
    <w:rsid w:val="00C71812"/>
    <w:rsid w:val="00C7376C"/>
    <w:rsid w:val="00C76C83"/>
    <w:rsid w:val="00C81B17"/>
    <w:rsid w:val="00C8731B"/>
    <w:rsid w:val="00C91F3E"/>
    <w:rsid w:val="00C939F6"/>
    <w:rsid w:val="00CA5AD1"/>
    <w:rsid w:val="00CA6F5F"/>
    <w:rsid w:val="00CB0B8B"/>
    <w:rsid w:val="00CB2AB3"/>
    <w:rsid w:val="00CC121C"/>
    <w:rsid w:val="00CC1A44"/>
    <w:rsid w:val="00CC1BD1"/>
    <w:rsid w:val="00CC2511"/>
    <w:rsid w:val="00CC2ABD"/>
    <w:rsid w:val="00CC4758"/>
    <w:rsid w:val="00CD07B7"/>
    <w:rsid w:val="00CD0A42"/>
    <w:rsid w:val="00CD1DE1"/>
    <w:rsid w:val="00CE05AC"/>
    <w:rsid w:val="00CE1B7F"/>
    <w:rsid w:val="00CE3514"/>
    <w:rsid w:val="00CE4EAF"/>
    <w:rsid w:val="00CE5779"/>
    <w:rsid w:val="00CE5C06"/>
    <w:rsid w:val="00CF4DAD"/>
    <w:rsid w:val="00CF7B73"/>
    <w:rsid w:val="00D006AD"/>
    <w:rsid w:val="00D01B8C"/>
    <w:rsid w:val="00D02C3E"/>
    <w:rsid w:val="00D033BA"/>
    <w:rsid w:val="00D03F40"/>
    <w:rsid w:val="00D05031"/>
    <w:rsid w:val="00D07B16"/>
    <w:rsid w:val="00D13437"/>
    <w:rsid w:val="00D15553"/>
    <w:rsid w:val="00D24FF2"/>
    <w:rsid w:val="00D26F66"/>
    <w:rsid w:val="00D27F25"/>
    <w:rsid w:val="00D3001A"/>
    <w:rsid w:val="00D308A3"/>
    <w:rsid w:val="00D316B5"/>
    <w:rsid w:val="00D31B23"/>
    <w:rsid w:val="00D33A32"/>
    <w:rsid w:val="00D350B9"/>
    <w:rsid w:val="00D37221"/>
    <w:rsid w:val="00D4039C"/>
    <w:rsid w:val="00D44182"/>
    <w:rsid w:val="00D47A7B"/>
    <w:rsid w:val="00D5163C"/>
    <w:rsid w:val="00D5285E"/>
    <w:rsid w:val="00D60FE2"/>
    <w:rsid w:val="00D636BA"/>
    <w:rsid w:val="00D65892"/>
    <w:rsid w:val="00D770D7"/>
    <w:rsid w:val="00D81274"/>
    <w:rsid w:val="00D90316"/>
    <w:rsid w:val="00D94D6A"/>
    <w:rsid w:val="00D973CB"/>
    <w:rsid w:val="00DA0352"/>
    <w:rsid w:val="00DA28AB"/>
    <w:rsid w:val="00DA3BB2"/>
    <w:rsid w:val="00DA4607"/>
    <w:rsid w:val="00DA5368"/>
    <w:rsid w:val="00DB23D5"/>
    <w:rsid w:val="00DB3FF7"/>
    <w:rsid w:val="00DB48E2"/>
    <w:rsid w:val="00DB59EE"/>
    <w:rsid w:val="00DB5AE8"/>
    <w:rsid w:val="00DB7B3F"/>
    <w:rsid w:val="00DC0D91"/>
    <w:rsid w:val="00DD5048"/>
    <w:rsid w:val="00DE1375"/>
    <w:rsid w:val="00DE2995"/>
    <w:rsid w:val="00DF166C"/>
    <w:rsid w:val="00E001D4"/>
    <w:rsid w:val="00E02E06"/>
    <w:rsid w:val="00E02E3A"/>
    <w:rsid w:val="00E05528"/>
    <w:rsid w:val="00E1253D"/>
    <w:rsid w:val="00E1412E"/>
    <w:rsid w:val="00E15D9D"/>
    <w:rsid w:val="00E16532"/>
    <w:rsid w:val="00E16AED"/>
    <w:rsid w:val="00E2326E"/>
    <w:rsid w:val="00E32D09"/>
    <w:rsid w:val="00E37C3B"/>
    <w:rsid w:val="00E405FA"/>
    <w:rsid w:val="00E42800"/>
    <w:rsid w:val="00E4425E"/>
    <w:rsid w:val="00E44F7C"/>
    <w:rsid w:val="00E4631E"/>
    <w:rsid w:val="00E51DCC"/>
    <w:rsid w:val="00E56C4E"/>
    <w:rsid w:val="00E578BA"/>
    <w:rsid w:val="00E60D8B"/>
    <w:rsid w:val="00E620E3"/>
    <w:rsid w:val="00E622F3"/>
    <w:rsid w:val="00E6392A"/>
    <w:rsid w:val="00E64FE2"/>
    <w:rsid w:val="00E6704A"/>
    <w:rsid w:val="00E85851"/>
    <w:rsid w:val="00E87B50"/>
    <w:rsid w:val="00E9752F"/>
    <w:rsid w:val="00EA44A1"/>
    <w:rsid w:val="00EA6693"/>
    <w:rsid w:val="00EA762B"/>
    <w:rsid w:val="00EB21CF"/>
    <w:rsid w:val="00EB373C"/>
    <w:rsid w:val="00EB5405"/>
    <w:rsid w:val="00EB63D8"/>
    <w:rsid w:val="00EC18A3"/>
    <w:rsid w:val="00ED2003"/>
    <w:rsid w:val="00ED74CE"/>
    <w:rsid w:val="00ED7B61"/>
    <w:rsid w:val="00EE012E"/>
    <w:rsid w:val="00EE38ED"/>
    <w:rsid w:val="00EE4843"/>
    <w:rsid w:val="00EE48FB"/>
    <w:rsid w:val="00EE62E8"/>
    <w:rsid w:val="00EE6670"/>
    <w:rsid w:val="00EF20F0"/>
    <w:rsid w:val="00EF3AF7"/>
    <w:rsid w:val="00F01526"/>
    <w:rsid w:val="00F01BF0"/>
    <w:rsid w:val="00F03158"/>
    <w:rsid w:val="00F07712"/>
    <w:rsid w:val="00F1317C"/>
    <w:rsid w:val="00F22669"/>
    <w:rsid w:val="00F24EE5"/>
    <w:rsid w:val="00F255C3"/>
    <w:rsid w:val="00F264AC"/>
    <w:rsid w:val="00F270A4"/>
    <w:rsid w:val="00F31C61"/>
    <w:rsid w:val="00F3268D"/>
    <w:rsid w:val="00F33F56"/>
    <w:rsid w:val="00F33FC1"/>
    <w:rsid w:val="00F3403C"/>
    <w:rsid w:val="00F34A74"/>
    <w:rsid w:val="00F34DC2"/>
    <w:rsid w:val="00F356F7"/>
    <w:rsid w:val="00F44E43"/>
    <w:rsid w:val="00F55DBD"/>
    <w:rsid w:val="00F6135B"/>
    <w:rsid w:val="00F62C7A"/>
    <w:rsid w:val="00F64CE6"/>
    <w:rsid w:val="00F70692"/>
    <w:rsid w:val="00F743BC"/>
    <w:rsid w:val="00F75CEB"/>
    <w:rsid w:val="00F808DF"/>
    <w:rsid w:val="00F80C99"/>
    <w:rsid w:val="00F80FB5"/>
    <w:rsid w:val="00F81EBC"/>
    <w:rsid w:val="00F83D03"/>
    <w:rsid w:val="00F861EE"/>
    <w:rsid w:val="00F87958"/>
    <w:rsid w:val="00F90538"/>
    <w:rsid w:val="00F9297A"/>
    <w:rsid w:val="00F961AF"/>
    <w:rsid w:val="00F96A4F"/>
    <w:rsid w:val="00FA5B28"/>
    <w:rsid w:val="00FA6DE0"/>
    <w:rsid w:val="00FA7790"/>
    <w:rsid w:val="00FA7961"/>
    <w:rsid w:val="00FA7F23"/>
    <w:rsid w:val="00FB1BF4"/>
    <w:rsid w:val="00FB255B"/>
    <w:rsid w:val="00FB57DA"/>
    <w:rsid w:val="00FB5BCF"/>
    <w:rsid w:val="00FC1D5C"/>
    <w:rsid w:val="00FC2B63"/>
    <w:rsid w:val="00FC5628"/>
    <w:rsid w:val="00FC591E"/>
    <w:rsid w:val="00FC617C"/>
    <w:rsid w:val="00FD3353"/>
    <w:rsid w:val="00FD65B2"/>
    <w:rsid w:val="00FE1925"/>
    <w:rsid w:val="00FE3BE1"/>
    <w:rsid w:val="00FF3132"/>
    <w:rsid w:val="00FF345D"/>
    <w:rsid w:val="00FF45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4BE75"/>
  <w15:docId w15:val="{F36AA265-BA8A-40D6-BDB7-4338ECF6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rsid w:val="0058025F"/>
    <w:rPr>
      <w:color w:val="0000FF" w:themeColor="hyperlink"/>
      <w:u w:val="single"/>
    </w:rPr>
  </w:style>
  <w:style w:type="table" w:styleId="TableGrid">
    <w:name w:val="Table Grid"/>
    <w:basedOn w:val="TableNormal"/>
    <w:uiPriority w:val="59"/>
    <w:rsid w:val="00A8419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C16"/>
    <w:rPr>
      <w:rFonts w:ascii="Tahoma" w:hAnsi="Tahoma" w:cs="Tahoma"/>
      <w:sz w:val="16"/>
      <w:szCs w:val="16"/>
    </w:rPr>
  </w:style>
  <w:style w:type="character" w:customStyle="1" w:styleId="BalloonTextChar">
    <w:name w:val="Balloon Text Char"/>
    <w:basedOn w:val="DefaultParagraphFont"/>
    <w:link w:val="BalloonText"/>
    <w:rsid w:val="00B16C16"/>
    <w:rPr>
      <w:rFonts w:ascii="Tahoma" w:hAnsi="Tahoma" w:cs="Tahoma"/>
      <w:sz w:val="16"/>
      <w:szCs w:val="16"/>
      <w:lang w:eastAsia="en-US"/>
    </w:rPr>
  </w:style>
  <w:style w:type="character" w:styleId="CommentReference">
    <w:name w:val="annotation reference"/>
    <w:basedOn w:val="DefaultParagraphFont"/>
    <w:rsid w:val="00B16C16"/>
    <w:rPr>
      <w:sz w:val="16"/>
      <w:szCs w:val="16"/>
    </w:rPr>
  </w:style>
  <w:style w:type="paragraph" w:styleId="CommentText">
    <w:name w:val="annotation text"/>
    <w:basedOn w:val="Normal"/>
    <w:link w:val="CommentTextChar"/>
    <w:rsid w:val="00B16C16"/>
    <w:rPr>
      <w:sz w:val="20"/>
      <w:szCs w:val="20"/>
    </w:rPr>
  </w:style>
  <w:style w:type="character" w:customStyle="1" w:styleId="CommentTextChar">
    <w:name w:val="Comment Text Char"/>
    <w:basedOn w:val="DefaultParagraphFont"/>
    <w:link w:val="CommentText"/>
    <w:rsid w:val="00B16C16"/>
    <w:rPr>
      <w:rFonts w:ascii="Times New Roman" w:hAnsi="Times New Roman"/>
      <w:lang w:eastAsia="en-US"/>
    </w:rPr>
  </w:style>
  <w:style w:type="paragraph" w:styleId="CommentSubject">
    <w:name w:val="annotation subject"/>
    <w:basedOn w:val="CommentText"/>
    <w:next w:val="CommentText"/>
    <w:link w:val="CommentSubjectChar"/>
    <w:rsid w:val="00B16C16"/>
    <w:rPr>
      <w:b/>
      <w:bCs/>
    </w:rPr>
  </w:style>
  <w:style w:type="character" w:customStyle="1" w:styleId="CommentSubjectChar">
    <w:name w:val="Comment Subject Char"/>
    <w:basedOn w:val="CommentTextChar"/>
    <w:link w:val="CommentSubject"/>
    <w:rsid w:val="00B16C16"/>
    <w:rPr>
      <w:rFonts w:ascii="Times New Roman" w:hAnsi="Times New Roman"/>
      <w:b/>
      <w:bCs/>
      <w:lang w:eastAsia="en-US"/>
    </w:rPr>
  </w:style>
  <w:style w:type="character" w:styleId="FollowedHyperlink">
    <w:name w:val="FollowedHyperlink"/>
    <w:basedOn w:val="DefaultParagraphFont"/>
    <w:rsid w:val="00666C64"/>
    <w:rPr>
      <w:color w:val="800080" w:themeColor="followedHyperlink"/>
      <w:u w:val="single"/>
    </w:rPr>
  </w:style>
  <w:style w:type="paragraph" w:styleId="Header">
    <w:name w:val="header"/>
    <w:basedOn w:val="Normal"/>
    <w:link w:val="HeaderChar"/>
    <w:unhideWhenUsed/>
    <w:rsid w:val="003D42EE"/>
    <w:pPr>
      <w:tabs>
        <w:tab w:val="center" w:pos="4536"/>
        <w:tab w:val="right" w:pos="9072"/>
      </w:tabs>
    </w:pPr>
  </w:style>
  <w:style w:type="character" w:customStyle="1" w:styleId="HeaderChar">
    <w:name w:val="Header Char"/>
    <w:basedOn w:val="DefaultParagraphFont"/>
    <w:link w:val="Header"/>
    <w:rsid w:val="003D42EE"/>
    <w:rPr>
      <w:rFonts w:ascii="Times New Roman" w:hAnsi="Times New Roman"/>
      <w:sz w:val="24"/>
      <w:szCs w:val="24"/>
      <w:lang w:eastAsia="en-US"/>
    </w:rPr>
  </w:style>
  <w:style w:type="paragraph" w:styleId="Footer">
    <w:name w:val="footer"/>
    <w:basedOn w:val="Normal"/>
    <w:link w:val="FooterChar"/>
    <w:uiPriority w:val="99"/>
    <w:unhideWhenUsed/>
    <w:rsid w:val="003D42EE"/>
    <w:pPr>
      <w:tabs>
        <w:tab w:val="center" w:pos="4536"/>
        <w:tab w:val="right" w:pos="9072"/>
      </w:tabs>
    </w:pPr>
  </w:style>
  <w:style w:type="character" w:customStyle="1" w:styleId="FooterChar">
    <w:name w:val="Footer Char"/>
    <w:basedOn w:val="DefaultParagraphFont"/>
    <w:link w:val="Footer"/>
    <w:uiPriority w:val="99"/>
    <w:rsid w:val="003D42EE"/>
    <w:rPr>
      <w:rFonts w:ascii="Times New Roman" w:hAnsi="Times New Roman"/>
      <w:sz w:val="24"/>
      <w:szCs w:val="24"/>
      <w:lang w:eastAsia="en-US"/>
    </w:rPr>
  </w:style>
  <w:style w:type="character" w:customStyle="1" w:styleId="f3">
    <w:name w:val="f3"/>
    <w:basedOn w:val="DefaultParagraphFont"/>
    <w:rsid w:val="00DF166C"/>
  </w:style>
  <w:style w:type="paragraph" w:styleId="Revision">
    <w:name w:val="Revision"/>
    <w:hidden/>
    <w:uiPriority w:val="99"/>
    <w:semiHidden/>
    <w:rsid w:val="00BA0E27"/>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1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janes\Downloads\janeli.tikk@agri.ee"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 TargetMode="External"/><Relationship Id="rId5" Type="http://schemas.openxmlformats.org/officeDocument/2006/relationships/webSettings" Target="webSettings.xml"/><Relationship Id="rId10" Type="http://schemas.openxmlformats.org/officeDocument/2006/relationships/hyperlink" Target="file:///C:\Users\kjanes\Downloads\laura.ojava@agri.e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C:\Users\kjanes\Downloads\kadri.janes@agri.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2770-03F9-43C0-96D7-152B1E10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3017</Words>
  <Characters>17500</Characters>
  <Application>Microsoft Office Word</Application>
  <DocSecurity>0</DocSecurity>
  <Lines>145</Lines>
  <Paragraphs>40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Joosep Lukk</cp:lastModifiedBy>
  <cp:revision>2</cp:revision>
  <cp:lastPrinted>2018-06-13T08:08:00Z</cp:lastPrinted>
  <dcterms:created xsi:type="dcterms:W3CDTF">2020-08-04T07:27:00Z</dcterms:created>
  <dcterms:modified xsi:type="dcterms:W3CDTF">2020-08-04T07:27:00Z</dcterms:modified>
</cp:coreProperties>
</file>